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21BB2F">
      <w:pPr>
        <w:pStyle w:val="2"/>
        <w:jc w:val="center"/>
        <w:rPr>
          <w:rFonts w:ascii="方正小标宋_GBK" w:hAnsi="方正小标宋_GBK" w:eastAsia="方正小标宋_GBK"/>
          <w:b w:val="0"/>
          <w:bCs w:val="0"/>
          <w:sz w:val="30"/>
        </w:rPr>
      </w:pPr>
      <w:bookmarkStart w:id="0" w:name="_Toc24724711"/>
      <w:r>
        <w:rPr>
          <w:rFonts w:hint="eastAsia" w:ascii="方正小标宋_GBK" w:hAnsi="方正小标宋_GBK" w:eastAsia="方正小标宋_GBK"/>
          <w:b w:val="0"/>
          <w:bCs w:val="0"/>
          <w:sz w:val="30"/>
        </w:rPr>
        <w:t>（八）财政预决算领域基层政务公开标准目录</w:t>
      </w:r>
      <w:bookmarkEnd w:id="0"/>
    </w:p>
    <w:tbl>
      <w:tblPr>
        <w:tblStyle w:val="9"/>
        <w:tblW w:w="15480" w:type="dxa"/>
        <w:tblInd w:w="-7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720"/>
        <w:gridCol w:w="720"/>
        <w:gridCol w:w="3240"/>
        <w:gridCol w:w="1800"/>
        <w:gridCol w:w="1620"/>
        <w:gridCol w:w="900"/>
        <w:gridCol w:w="1800"/>
        <w:gridCol w:w="720"/>
        <w:gridCol w:w="709"/>
        <w:gridCol w:w="551"/>
        <w:gridCol w:w="720"/>
        <w:gridCol w:w="720"/>
        <w:gridCol w:w="720"/>
      </w:tblGrid>
      <w:tr w14:paraId="0E886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shd w:val="clear" w:color="auto" w:fill="auto"/>
            <w:vAlign w:val="center"/>
          </w:tcPr>
          <w:p w14:paraId="40736F9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2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14:paraId="47E9B651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公开事项</w:t>
            </w:r>
          </w:p>
        </w:tc>
        <w:tc>
          <w:tcPr>
            <w:tcW w:w="3240" w:type="dxa"/>
            <w:vMerge w:val="restart"/>
            <w:shd w:val="clear" w:color="auto" w:fill="auto"/>
            <w:vAlign w:val="center"/>
          </w:tcPr>
          <w:p w14:paraId="4A86BAFD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公开内容（要素）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14:paraId="575EC0CF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公开依据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14:paraId="555060A5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公开时限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0967A999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公开主体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14:paraId="6EB7B6BB">
            <w:pPr>
              <w:widowControl/>
              <w:jc w:val="center"/>
              <w:rPr>
                <w:rFonts w:ascii="黑体" w:hAnsi="宋体" w:eastAsia="黑体" w:cs="宋体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kern w:val="0"/>
                <w:sz w:val="22"/>
              </w:rPr>
              <w:t>公开渠道和载体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 w14:paraId="17D0E803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公开对象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 w14:paraId="2B7117BA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公开方式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14:paraId="287E0390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公开层级</w:t>
            </w:r>
          </w:p>
        </w:tc>
      </w:tr>
      <w:tr w14:paraId="05F6C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06769C7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F253944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一级事项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4C8BFAF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二级事项</w:t>
            </w:r>
          </w:p>
        </w:tc>
        <w:tc>
          <w:tcPr>
            <w:tcW w:w="3240" w:type="dxa"/>
            <w:vMerge w:val="continue"/>
            <w:vAlign w:val="center"/>
          </w:tcPr>
          <w:p w14:paraId="7A6E08F1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04E6DE13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555126EA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7F182554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1AB55415">
            <w:pPr>
              <w:widowControl/>
              <w:jc w:val="left"/>
              <w:rPr>
                <w:rFonts w:ascii="黑体" w:hAnsi="宋体" w:eastAsia="黑体" w:cs="宋体"/>
                <w:kern w:val="0"/>
                <w:sz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9E5C1FA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全社会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B6AB69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特定群众</w:t>
            </w:r>
          </w:p>
        </w:tc>
        <w:tc>
          <w:tcPr>
            <w:tcW w:w="551" w:type="dxa"/>
            <w:shd w:val="clear" w:color="auto" w:fill="auto"/>
            <w:vAlign w:val="center"/>
          </w:tcPr>
          <w:p w14:paraId="25758F17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主动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A55153A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依申请公开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556D24E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县级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A091DD6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乡、村级</w:t>
            </w:r>
          </w:p>
        </w:tc>
      </w:tr>
      <w:tr w14:paraId="4CA5D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 w14:paraId="4EF4EA8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5B102D6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3F50FE9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政府预算</w:t>
            </w:r>
          </w:p>
        </w:tc>
        <w:tc>
          <w:tcPr>
            <w:tcW w:w="3240" w:type="dxa"/>
            <w:vAlign w:val="center"/>
          </w:tcPr>
          <w:p w14:paraId="48395340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一般公共预算：①一般公共预算收入表。②一般公共预算支出表。③一般公共预算本级支出表。④一般公共预算本级基本支出表。⑤一般公共预算税收返还和转移支付表。⑥政府一般债务限额和余额情况表。</w:t>
            </w:r>
          </w:p>
        </w:tc>
        <w:tc>
          <w:tcPr>
            <w:tcW w:w="1800" w:type="dxa"/>
            <w:vMerge w:val="restart"/>
            <w:vAlign w:val="center"/>
          </w:tcPr>
          <w:p w14:paraId="4AED42DC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《财政部关于印发〈地方预决算公开操作规程〉的通知》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、《财政部关于印发&lt;地方政府债务信息公开办法（试行）&gt;的通知》等法律法规和文件规定</w:t>
            </w:r>
          </w:p>
        </w:tc>
        <w:tc>
          <w:tcPr>
            <w:tcW w:w="1620" w:type="dxa"/>
            <w:vMerge w:val="restart"/>
            <w:vAlign w:val="center"/>
          </w:tcPr>
          <w:p w14:paraId="16788000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本级人民代表大会或其常务委员会批准后20日内</w:t>
            </w:r>
          </w:p>
        </w:tc>
        <w:tc>
          <w:tcPr>
            <w:tcW w:w="900" w:type="dxa"/>
            <w:vMerge w:val="restart"/>
            <w:vAlign w:val="center"/>
          </w:tcPr>
          <w:p w14:paraId="360AF55F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地方各级财政部门</w:t>
            </w:r>
          </w:p>
        </w:tc>
        <w:tc>
          <w:tcPr>
            <w:tcW w:w="1800" w:type="dxa"/>
            <w:vMerge w:val="restart"/>
            <w:vAlign w:val="center"/>
          </w:tcPr>
          <w:p w14:paraId="2615849E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4CF7A1DF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■财政部门网站公开平台</w:t>
            </w:r>
          </w:p>
          <w:p w14:paraId="2DEB32A0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■政府公报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2DA8802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4CBCAA9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shd w:val="clear" w:color="auto" w:fill="auto"/>
            <w:vAlign w:val="center"/>
          </w:tcPr>
          <w:p w14:paraId="75CBB3E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03997DB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1688A67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667498E9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4F6D9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6C29F41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26950E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3F90ACE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737BC72C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政府性基金预算：①政府性基金收入表。②政府性基金支出表。③本级政府性基金支出表。④政府性基金转移支付表。⑤政府专项债务限额和余额情况表。</w:t>
            </w:r>
          </w:p>
        </w:tc>
        <w:tc>
          <w:tcPr>
            <w:tcW w:w="1800" w:type="dxa"/>
            <w:vMerge w:val="continue"/>
            <w:vAlign w:val="center"/>
          </w:tcPr>
          <w:p w14:paraId="1DAB27D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216E752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3C5CC05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2A388289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ADAC1F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1E41970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5DB45FF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FF32A8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36E528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E7C306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14569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 w14:paraId="7BB5FB89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1974A00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4EA40C3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政府预算</w:t>
            </w:r>
          </w:p>
        </w:tc>
        <w:tc>
          <w:tcPr>
            <w:tcW w:w="3240" w:type="dxa"/>
            <w:vAlign w:val="center"/>
          </w:tcPr>
          <w:p w14:paraId="29EAA313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国有资本经营预算：①国有资本经营预算收入表。②国有资本经营预算支出表。③本级国有资本经营预算支出表。④对下安排转移支付的应当公开国有资本经营预算转移支付表。</w:t>
            </w:r>
          </w:p>
        </w:tc>
        <w:tc>
          <w:tcPr>
            <w:tcW w:w="1800" w:type="dxa"/>
            <w:vMerge w:val="restart"/>
            <w:vAlign w:val="center"/>
          </w:tcPr>
          <w:p w14:paraId="6A3E1C93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《财政部关于印发〈地方预决算公开操作规程〉的通知》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、《财政部关于印发&lt;地方政府债务信息公开办法（试行）&gt;的通知》等法律法规和文件规定</w:t>
            </w:r>
          </w:p>
        </w:tc>
        <w:tc>
          <w:tcPr>
            <w:tcW w:w="1620" w:type="dxa"/>
            <w:vMerge w:val="restart"/>
            <w:vAlign w:val="center"/>
          </w:tcPr>
          <w:p w14:paraId="46CA6187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本级人民代表大会或其常务委员会批准后20日内</w:t>
            </w:r>
          </w:p>
        </w:tc>
        <w:tc>
          <w:tcPr>
            <w:tcW w:w="900" w:type="dxa"/>
            <w:vMerge w:val="restart"/>
            <w:vAlign w:val="center"/>
          </w:tcPr>
          <w:p w14:paraId="76ECDD3F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地方各级财政部门</w:t>
            </w:r>
          </w:p>
        </w:tc>
        <w:tc>
          <w:tcPr>
            <w:tcW w:w="1800" w:type="dxa"/>
            <w:vMerge w:val="restart"/>
            <w:vAlign w:val="center"/>
          </w:tcPr>
          <w:p w14:paraId="4ED69B80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4964A00C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■财政部门网站公开平台</w:t>
            </w:r>
          </w:p>
          <w:p w14:paraId="123F4E81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■政府公报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4F7672A8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79E6899A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shd w:val="clear" w:color="auto" w:fill="auto"/>
            <w:vAlign w:val="center"/>
          </w:tcPr>
          <w:p w14:paraId="6A63500C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24CD9256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57FB439E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766DBE41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51194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5C61B05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5312E6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50637F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3DC16F62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社会保险基金预算：①社会保险基金收入表。②社会保险基金支出表。</w:t>
            </w:r>
          </w:p>
        </w:tc>
        <w:tc>
          <w:tcPr>
            <w:tcW w:w="1800" w:type="dxa"/>
            <w:vMerge w:val="continue"/>
            <w:vAlign w:val="center"/>
          </w:tcPr>
          <w:p w14:paraId="7D271F6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2F89556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29CCAE7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</w:tcPr>
          <w:p w14:paraId="2A0DCF7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06A3C9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5763355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6D7CD22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3321201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0AACD1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877B24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0FAAA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169286B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2E46EB9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4F293F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5FE725EE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一般公共预算、政府性基金预算、国有资本经营预算和社会保险基金预算报表中涉及本级支出的，应当公开到功能分类项级科目。本级一般公共预算基本支出应当公开到经济性质分类款级科目，专项转移支付应当分地区、分项目公开。</w:t>
            </w:r>
          </w:p>
        </w:tc>
        <w:tc>
          <w:tcPr>
            <w:tcW w:w="1800" w:type="dxa"/>
            <w:vMerge w:val="continue"/>
            <w:vAlign w:val="center"/>
          </w:tcPr>
          <w:p w14:paraId="101BD1F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1AA32E9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4A5408E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</w:tcPr>
          <w:p w14:paraId="5B44716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3468055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44E6E62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6BB805C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AF61C4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1E7BA87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4D460F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2F848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3A06E99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1D2673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CE5418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2EFF6771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对财政转移支付安排、举借政府债务等重要事项进行解释、说明，并公开重大政策和重点项目等绩效目标。</w:t>
            </w:r>
          </w:p>
        </w:tc>
        <w:tc>
          <w:tcPr>
            <w:tcW w:w="1800" w:type="dxa"/>
            <w:vMerge w:val="continue"/>
            <w:vAlign w:val="center"/>
          </w:tcPr>
          <w:p w14:paraId="72E0D04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6FF0F0A5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71D624A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</w:tcPr>
          <w:p w14:paraId="6D79B99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BBD8D4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0AAAA71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277EB46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1386045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C47434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FADB95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39A3A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43BAC12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7A0818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0E85281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38028B2E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本级汇总的一般公共预算“三公”经费，包括预算总额，以及“因公出国（境）费”“公务用车购置及运行费”（区分“公务用车购置费”“公务用车运行费”两项）、“公务接待费”分项数额，并对增减变化情况进行说明。</w:t>
            </w:r>
          </w:p>
        </w:tc>
        <w:tc>
          <w:tcPr>
            <w:tcW w:w="1800" w:type="dxa"/>
            <w:vMerge w:val="continue"/>
            <w:vAlign w:val="center"/>
          </w:tcPr>
          <w:p w14:paraId="47A8955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36014C9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372474B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</w:tcPr>
          <w:p w14:paraId="2A569CD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38078A1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0736462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245F31E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3D00FC4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E88786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945EED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73090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 w14:paraId="75DDD53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76C8C3E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4462C7B5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政府预算</w:t>
            </w:r>
          </w:p>
        </w:tc>
        <w:tc>
          <w:tcPr>
            <w:tcW w:w="3240" w:type="dxa"/>
            <w:vAlign w:val="center"/>
          </w:tcPr>
          <w:p w14:paraId="5B943C43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政府债务限额、余额、使用安排及还本付息等信息，包括：①随同预算公开上一年度本地区、本级及所属地区地方政府债务限额及余额（或余额预计执行数），以及本地区和本级上一年度地方政府债券（含再融资债券）发行及还本付息额（或预计执行数）、本年度地方政府债券还本付息预算数等；②随同调整预算公开当年本地区及本级地方政府债务限额、本级新增地方政府债券资金使用安排等。</w:t>
            </w:r>
          </w:p>
        </w:tc>
        <w:tc>
          <w:tcPr>
            <w:tcW w:w="1800" w:type="dxa"/>
            <w:vMerge w:val="restart"/>
            <w:vAlign w:val="center"/>
          </w:tcPr>
          <w:p w14:paraId="542198F1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《财政部关于印发〈地方预决算公开操作规程〉的通知》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、《财政部关于印发&lt;地方政府债务信息公开办法（试行）&gt;的通知》等法律法规和文件规定</w:t>
            </w:r>
          </w:p>
        </w:tc>
        <w:tc>
          <w:tcPr>
            <w:tcW w:w="1620" w:type="dxa"/>
            <w:vMerge w:val="restart"/>
            <w:vAlign w:val="center"/>
          </w:tcPr>
          <w:p w14:paraId="31F5EE29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本级人民代表大会或其常务委员会批准后20日内</w:t>
            </w:r>
          </w:p>
        </w:tc>
        <w:tc>
          <w:tcPr>
            <w:tcW w:w="900" w:type="dxa"/>
            <w:vMerge w:val="restart"/>
            <w:vAlign w:val="center"/>
          </w:tcPr>
          <w:p w14:paraId="2C059710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地方各级财政部门</w:t>
            </w:r>
          </w:p>
        </w:tc>
        <w:tc>
          <w:tcPr>
            <w:tcW w:w="1800" w:type="dxa"/>
            <w:vMerge w:val="restart"/>
            <w:vAlign w:val="center"/>
          </w:tcPr>
          <w:p w14:paraId="5128AFE7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66671A80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■财政部门网站公开平台</w:t>
            </w:r>
          </w:p>
          <w:p w14:paraId="60D2B6D7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■政府公报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3C81FF16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35D1F0E8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shd w:val="clear" w:color="auto" w:fill="auto"/>
            <w:vAlign w:val="center"/>
          </w:tcPr>
          <w:p w14:paraId="7BBF013B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661C1620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44DAC1DD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3FD64634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bookmarkStart w:id="1" w:name="_GoBack"/>
            <w:bookmarkEnd w:id="1"/>
          </w:p>
        </w:tc>
      </w:tr>
      <w:tr w14:paraId="64929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0D84F84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3BE3776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30CC2DD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419307F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没有数据的表格应当列出空表并说明。</w:t>
            </w:r>
          </w:p>
        </w:tc>
        <w:tc>
          <w:tcPr>
            <w:tcW w:w="1800" w:type="dxa"/>
            <w:vMerge w:val="continue"/>
            <w:vAlign w:val="center"/>
          </w:tcPr>
          <w:p w14:paraId="20766F85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5806FD7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58D95BD9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019415D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3FD2BAC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19EBDA6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4ED9FCB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8648D6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E11B25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7BC5DC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4D2BF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 w14:paraId="7EDBAF7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74201D5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41718D3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决算</w:t>
            </w:r>
          </w:p>
        </w:tc>
        <w:tc>
          <w:tcPr>
            <w:tcW w:w="3240" w:type="dxa"/>
            <w:vAlign w:val="center"/>
          </w:tcPr>
          <w:p w14:paraId="3BCBC4D8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一般公共预算：①一般公共预算收入表。②一般公共预算支出表。③一般公共预算本级支出表。④一般公共预算本级基本支出表。⑤一般公共预算税收返还和转移支付表。⑥政府一般债务限额和余额情况表。</w:t>
            </w:r>
          </w:p>
        </w:tc>
        <w:tc>
          <w:tcPr>
            <w:tcW w:w="1800" w:type="dxa"/>
            <w:vMerge w:val="restart"/>
            <w:vAlign w:val="center"/>
          </w:tcPr>
          <w:p w14:paraId="02C03754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《财政部关于印发〈地方预决算公开操作规程〉的通知》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、《财政部关于印发&lt;地方政府债务信息公开办法（试行）&gt;的通知》等法律法规和文件规定</w:t>
            </w:r>
          </w:p>
        </w:tc>
        <w:tc>
          <w:tcPr>
            <w:tcW w:w="1620" w:type="dxa"/>
            <w:vMerge w:val="restart"/>
            <w:vAlign w:val="center"/>
          </w:tcPr>
          <w:p w14:paraId="27DE44E3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本级人民代表大会或其常务委员会批准后20日内</w:t>
            </w:r>
          </w:p>
        </w:tc>
        <w:tc>
          <w:tcPr>
            <w:tcW w:w="900" w:type="dxa"/>
            <w:vMerge w:val="restart"/>
            <w:vAlign w:val="center"/>
          </w:tcPr>
          <w:p w14:paraId="46938CF9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地方各级财政部门</w:t>
            </w:r>
          </w:p>
        </w:tc>
        <w:tc>
          <w:tcPr>
            <w:tcW w:w="1800" w:type="dxa"/>
            <w:vMerge w:val="restart"/>
            <w:vAlign w:val="center"/>
          </w:tcPr>
          <w:p w14:paraId="5CAFBE90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5275C560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■财政部门网站公开平台</w:t>
            </w:r>
          </w:p>
          <w:p w14:paraId="0A07DE8E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■政府公报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233C409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2671D1A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vMerge w:val="restart"/>
            <w:shd w:val="clear" w:color="auto" w:fill="auto"/>
            <w:vAlign w:val="center"/>
          </w:tcPr>
          <w:p w14:paraId="7565554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013984F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0134736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51E05F4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 w14:paraId="0A33F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300BB2C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B55654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FD36015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3498F927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政府性基金预算：①政府性基金收入表。②政府性基金支出表。③本级政府性基金支出表。④政府性基金转移支付表。⑤政府专项债务限额和余额情况表。</w:t>
            </w:r>
          </w:p>
        </w:tc>
        <w:tc>
          <w:tcPr>
            <w:tcW w:w="1800" w:type="dxa"/>
            <w:vMerge w:val="continue"/>
            <w:vAlign w:val="center"/>
          </w:tcPr>
          <w:p w14:paraId="7D8A8D7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472BB50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1021E14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1AA63BF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F55C8D9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7BF5FBE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1066F1C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D0E5A1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27C0C7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FD853D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68FE6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236459A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29E91D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144B1F8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1613387A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国有资本经营预算：①国有资本经营预算收入表。②国有资本经营预算支出表。③本级国有资本经营预算支出表。④对下安排转移支付的应当公开国有资本经营预算转移支付表。</w:t>
            </w:r>
          </w:p>
        </w:tc>
        <w:tc>
          <w:tcPr>
            <w:tcW w:w="1800" w:type="dxa"/>
            <w:vMerge w:val="continue"/>
            <w:vAlign w:val="center"/>
          </w:tcPr>
          <w:p w14:paraId="46524DC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19EC5295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0467348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422B57D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88214C1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320873C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26BFEE3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3F6FBE1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6A94C5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E81F28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4A8A3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34E30C5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810C3C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E3B10C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001F60AE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社会保险基金预算：①社会保险基金收入表。②社会保险基金支出表。</w:t>
            </w:r>
          </w:p>
        </w:tc>
        <w:tc>
          <w:tcPr>
            <w:tcW w:w="1800" w:type="dxa"/>
            <w:vMerge w:val="continue"/>
            <w:vAlign w:val="center"/>
          </w:tcPr>
          <w:p w14:paraId="1D10FA2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5E127F71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3238F71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366B16B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3158CE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557C32B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5E7BB891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1BC1C5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60BD70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E7FCFC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12678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00C2BC8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065CE7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7FDA8D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33ED396C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一般公共预算、政府性基金预算、国有资本经营预算和社会保险基金预算报表中涉及本级支出的，应当公开到功能分类项级科目。本级一般公共预算基本支出应当公开到经济性质分类款级科目，专项转移支付应当分地区、分项目公开。</w:t>
            </w:r>
          </w:p>
        </w:tc>
        <w:tc>
          <w:tcPr>
            <w:tcW w:w="1800" w:type="dxa"/>
            <w:vMerge w:val="continue"/>
            <w:vAlign w:val="center"/>
          </w:tcPr>
          <w:p w14:paraId="4B52994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0DAC92B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7950E32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733809A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0219E8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6C7E2A49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7134BAA9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21EDC4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1BDE252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D5304F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20235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 w14:paraId="1A15D2D9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6F4493B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5FCE14A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决算</w:t>
            </w:r>
          </w:p>
        </w:tc>
        <w:tc>
          <w:tcPr>
            <w:tcW w:w="3240" w:type="dxa"/>
            <w:vAlign w:val="center"/>
          </w:tcPr>
          <w:p w14:paraId="70C6B8D4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对财政转移支付安排、举借政府债务、预算绩效工作开展情况等重要事项进行解释、说明，并公开重大政策和重点项目绩效执行结果。</w:t>
            </w:r>
          </w:p>
        </w:tc>
        <w:tc>
          <w:tcPr>
            <w:tcW w:w="1800" w:type="dxa"/>
            <w:vMerge w:val="restart"/>
            <w:vAlign w:val="center"/>
          </w:tcPr>
          <w:p w14:paraId="688FB378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同上</w:t>
            </w:r>
          </w:p>
        </w:tc>
        <w:tc>
          <w:tcPr>
            <w:tcW w:w="1620" w:type="dxa"/>
            <w:vMerge w:val="restart"/>
            <w:vAlign w:val="center"/>
          </w:tcPr>
          <w:p w14:paraId="5360C134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本级人民代表大会或其常务委员会批准后20日内</w:t>
            </w:r>
          </w:p>
        </w:tc>
        <w:tc>
          <w:tcPr>
            <w:tcW w:w="900" w:type="dxa"/>
            <w:vMerge w:val="restart"/>
            <w:vAlign w:val="center"/>
          </w:tcPr>
          <w:p w14:paraId="0394DA56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地方各级财政部门</w:t>
            </w:r>
          </w:p>
        </w:tc>
        <w:tc>
          <w:tcPr>
            <w:tcW w:w="1800" w:type="dxa"/>
            <w:vMerge w:val="restart"/>
            <w:vAlign w:val="center"/>
          </w:tcPr>
          <w:p w14:paraId="7C34D988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5B152D68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■财政部门网站公开平台</w:t>
            </w:r>
          </w:p>
          <w:p w14:paraId="77458828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■政府公报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61BE137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5CF12AA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vMerge w:val="restart"/>
            <w:shd w:val="clear" w:color="auto" w:fill="auto"/>
            <w:vAlign w:val="center"/>
          </w:tcPr>
          <w:p w14:paraId="679AA53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3326C6C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37046E2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4A389BA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 w14:paraId="0AC0C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5296CC31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116EDFE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148CB7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0AA9D706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本级汇总的一般公共预算“三公”经费，包括预算总额，以及“因公出国（境）费”“公务用车购置及运行费”（区分“公务用车购置费”“公务用车运行费”两项）“公务接待费”分项数额，并对增减变化情况（与预算对比）进行说明。</w:t>
            </w:r>
          </w:p>
        </w:tc>
        <w:tc>
          <w:tcPr>
            <w:tcW w:w="1800" w:type="dxa"/>
            <w:vMerge w:val="continue"/>
            <w:vAlign w:val="center"/>
          </w:tcPr>
          <w:p w14:paraId="5618873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1E0E68F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007E33C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58F3CAF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C9DD97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3159F24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792A06B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8CE948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29A7AC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D078AC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7ADAF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01E7022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311E7B2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94417C1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33BA695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地方政府债务限额、余额、使用安排及还本付息等信息，包括：上年末本地区、本级及所属地区地方政府债务限额、余额决算数，地方政府债券发行、还本付息决算数，以及债券资金使用安排等。</w:t>
            </w:r>
          </w:p>
        </w:tc>
        <w:tc>
          <w:tcPr>
            <w:tcW w:w="1800" w:type="dxa"/>
            <w:vMerge w:val="continue"/>
            <w:vAlign w:val="center"/>
          </w:tcPr>
          <w:p w14:paraId="1343B3B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5E78808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2A35689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2E8738B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9D327D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17A1E1E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75D7C1F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A0B995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12339C1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3A6C8215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3479A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33312E81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1C4BFBA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23AE26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56A8EE9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没有数据的表格应当列出空表并说明。</w:t>
            </w:r>
          </w:p>
        </w:tc>
        <w:tc>
          <w:tcPr>
            <w:tcW w:w="1800" w:type="dxa"/>
            <w:vMerge w:val="continue"/>
            <w:vAlign w:val="center"/>
          </w:tcPr>
          <w:p w14:paraId="472A0BC5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5B9D589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7425779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13172A9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72112E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2D40EB1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4417689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9AB1A61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1CDC9EA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65BB23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5734B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 w14:paraId="54C4DFB9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5FA3434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2257588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部门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预算</w:t>
            </w:r>
          </w:p>
        </w:tc>
        <w:tc>
          <w:tcPr>
            <w:tcW w:w="3240" w:type="dxa"/>
            <w:vAlign w:val="center"/>
          </w:tcPr>
          <w:p w14:paraId="180A6D57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收支总体情况表：①部门收支总体情况表。②部门收入总体情况表。③部门支出总体情况表。</w:t>
            </w:r>
          </w:p>
        </w:tc>
        <w:tc>
          <w:tcPr>
            <w:tcW w:w="1800" w:type="dxa"/>
            <w:vMerge w:val="restart"/>
            <w:vAlign w:val="center"/>
          </w:tcPr>
          <w:p w14:paraId="4D443752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《财政部关于印发〈地方预决算公开操作规程〉的通知》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等法律法规和文件规定</w:t>
            </w:r>
          </w:p>
        </w:tc>
        <w:tc>
          <w:tcPr>
            <w:tcW w:w="1620" w:type="dxa"/>
            <w:vMerge w:val="restart"/>
            <w:vAlign w:val="center"/>
          </w:tcPr>
          <w:p w14:paraId="3002DB4D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本级政府财政部门批复后20日内</w:t>
            </w:r>
          </w:p>
        </w:tc>
        <w:tc>
          <w:tcPr>
            <w:tcW w:w="900" w:type="dxa"/>
            <w:vMerge w:val="restart"/>
            <w:vAlign w:val="center"/>
          </w:tcPr>
          <w:p w14:paraId="27D11678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地方各级预算部门</w:t>
            </w:r>
          </w:p>
        </w:tc>
        <w:tc>
          <w:tcPr>
            <w:tcW w:w="1800" w:type="dxa"/>
            <w:vMerge w:val="restart"/>
            <w:vAlign w:val="center"/>
          </w:tcPr>
          <w:p w14:paraId="03923EF0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■部门网站</w:t>
            </w:r>
          </w:p>
          <w:p w14:paraId="5A4C6023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42F55FC2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■政府公报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189BF64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54707A1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shd w:val="clear" w:color="auto" w:fill="auto"/>
            <w:vAlign w:val="center"/>
          </w:tcPr>
          <w:p w14:paraId="6C553E6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69E988E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4B9BFC0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458315B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60114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0FF0BB1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64335CB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127C2DC4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7537D82D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财政拨款收支情况表：①财政拨款收支总体情况表。②一般公共预算支出情况表。③一般公共预算基本支出情况表。④一般公共预算“三公”经费支出情况表。⑤政府性基金预算支出情况表。</w:t>
            </w:r>
          </w:p>
        </w:tc>
        <w:tc>
          <w:tcPr>
            <w:tcW w:w="1800" w:type="dxa"/>
            <w:vMerge w:val="continue"/>
            <w:vAlign w:val="center"/>
          </w:tcPr>
          <w:p w14:paraId="572FC8F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30575FC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43219155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0B43DA6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3030BEF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4B98770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74DA7A6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A3ED51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342059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1CA602E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3A61B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7F16889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C2618BD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49C34F7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2F4B569E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一般公共预算支出情况表公开到功能分类项级科目。一般公共预算基本支出表公开到经济分类款级科目。</w:t>
            </w:r>
          </w:p>
        </w:tc>
        <w:tc>
          <w:tcPr>
            <w:tcW w:w="1800" w:type="dxa"/>
            <w:vMerge w:val="continue"/>
            <w:vAlign w:val="center"/>
          </w:tcPr>
          <w:p w14:paraId="4A1CD7D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0D95BCC1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5A993F3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772DFB8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791F61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24521221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4699791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3DDA6E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A9E905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2DD9E7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595CB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7D4A86B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7C93430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15442266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2594E48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“三公”经费支出表按“因公出国（境）费”“公务用车购置及运行费”“公务接待费”公开，其中，“公务用车购置及运行费”应当细化到“公务用车购置费”“公务用车运行费”两个项目，并对增减变化情况进行说明。</w:t>
            </w:r>
          </w:p>
        </w:tc>
        <w:tc>
          <w:tcPr>
            <w:tcW w:w="1800" w:type="dxa"/>
            <w:vMerge w:val="continue"/>
            <w:vAlign w:val="center"/>
          </w:tcPr>
          <w:p w14:paraId="12AF610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1B3B09F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2E5E6F8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2ED3F40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E86515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372F26C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1B7D3515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3AD356B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0DCF31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113E181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3A0A6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2CB729D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B67184D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619CCA3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59BFA04A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部门职责、机构设置情况、预算收支增减变化、机关运行经费安排以及政府采购（主要包括部门政府采购预算总金额和货物、工程、服务采购的预算金额）等情况的说明，并对专业性较强的名词进行解释。结合工作进展情况，逐步公开国有资产占用、重点项目预算的绩效目标等情况。</w:t>
            </w:r>
          </w:p>
        </w:tc>
        <w:tc>
          <w:tcPr>
            <w:tcW w:w="1800" w:type="dxa"/>
            <w:vMerge w:val="continue"/>
            <w:vAlign w:val="center"/>
          </w:tcPr>
          <w:p w14:paraId="74D6B2F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2A61F345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3ABA287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106F597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8CD8A4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080BA47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43EF10F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A71CF5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6CF2779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D616F6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309E3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6EEF555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8CB6F56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CB8C26E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5E1F009B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没有数据的表格应当列出空表并说明。</w:t>
            </w:r>
          </w:p>
        </w:tc>
        <w:tc>
          <w:tcPr>
            <w:tcW w:w="1800" w:type="dxa"/>
            <w:vMerge w:val="continue"/>
            <w:vAlign w:val="center"/>
          </w:tcPr>
          <w:p w14:paraId="5E1DE1D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3CE31A5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0FE4A3C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5FD604A9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0FD832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4823E56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14D84AB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3D8527A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A54D3B9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16017255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3941E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 w14:paraId="1A6AC5B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7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1554243D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74D9EB2B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部门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决算</w:t>
            </w:r>
          </w:p>
        </w:tc>
        <w:tc>
          <w:tcPr>
            <w:tcW w:w="3240" w:type="dxa"/>
            <w:vAlign w:val="center"/>
          </w:tcPr>
          <w:p w14:paraId="09563B58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收支总体情况表：①部门收支总体情况表。②部门收入总体情况表。③部门支出总体情况表。</w:t>
            </w:r>
          </w:p>
        </w:tc>
        <w:tc>
          <w:tcPr>
            <w:tcW w:w="1800" w:type="dxa"/>
            <w:vMerge w:val="restart"/>
            <w:vAlign w:val="center"/>
          </w:tcPr>
          <w:p w14:paraId="3E86C85B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《财政部关于印发〈地方预决算公开操作规程〉的通知》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等法律法规和文件规定</w:t>
            </w:r>
          </w:p>
        </w:tc>
        <w:tc>
          <w:tcPr>
            <w:tcW w:w="1620" w:type="dxa"/>
            <w:vMerge w:val="restart"/>
            <w:vAlign w:val="center"/>
          </w:tcPr>
          <w:p w14:paraId="44C5CD15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本级政府财政部门批复后20日内</w:t>
            </w:r>
          </w:p>
        </w:tc>
        <w:tc>
          <w:tcPr>
            <w:tcW w:w="900" w:type="dxa"/>
            <w:vMerge w:val="restart"/>
            <w:vAlign w:val="center"/>
          </w:tcPr>
          <w:p w14:paraId="12C15573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地方各级预算部门</w:t>
            </w:r>
          </w:p>
        </w:tc>
        <w:tc>
          <w:tcPr>
            <w:tcW w:w="1800" w:type="dxa"/>
            <w:vMerge w:val="restart"/>
            <w:vAlign w:val="center"/>
          </w:tcPr>
          <w:p w14:paraId="78066425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■部门网站</w:t>
            </w:r>
          </w:p>
          <w:p w14:paraId="415BEB76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3B46C344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■政府公报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46FD759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19599F3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shd w:val="clear" w:color="auto" w:fill="auto"/>
            <w:vAlign w:val="center"/>
          </w:tcPr>
          <w:p w14:paraId="43A8C92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41AD17E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12F5842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1F0021D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195B5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03D6E7D9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8CDFD01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C8925D9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7C1F47F3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财政拨款收支情况表：①财政拨款收支总体情况表。②一般公共预算支出情况表。③一般公共预算基本支出情况表。④一般公共预算“三公”经费支出情况表。⑤政府性基金预算支出情况表。</w:t>
            </w:r>
          </w:p>
        </w:tc>
        <w:tc>
          <w:tcPr>
            <w:tcW w:w="1800" w:type="dxa"/>
            <w:vMerge w:val="continue"/>
            <w:vAlign w:val="center"/>
          </w:tcPr>
          <w:p w14:paraId="78E4BD56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4C8B516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6CE4148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3053117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5B607F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5E964B2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36D13DF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659937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56EC54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6AA40A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4773C9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64916176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F95BA83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FE85EBC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704E0500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一般公共预算支出情况表公开到功能分类项级科目。一般公共预算基本支出表公开到经济分类款级科目。</w:t>
            </w:r>
          </w:p>
        </w:tc>
        <w:tc>
          <w:tcPr>
            <w:tcW w:w="1800" w:type="dxa"/>
            <w:vMerge w:val="continue"/>
            <w:vAlign w:val="center"/>
          </w:tcPr>
          <w:p w14:paraId="05179435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4F1E1BE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268C75F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2C31E62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37AD8B1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093D140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1C27F3D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9E46B0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195A106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72EA967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36CBC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45D0C984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F246B4A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2FB0526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5E40BFE7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“三公”经费支出表按“因公出国（境）费”“公务用车购置及运行费”“公务接待费”公开，其中，“公务用车购置及运行费”应当细化到“公务用车购置费”“公务用车运行费”两个项目，并对增减变化情况（与预算对比）进行说明。</w:t>
            </w:r>
          </w:p>
        </w:tc>
        <w:tc>
          <w:tcPr>
            <w:tcW w:w="1800" w:type="dxa"/>
            <w:vMerge w:val="continue"/>
            <w:vAlign w:val="center"/>
          </w:tcPr>
          <w:p w14:paraId="1C429D9B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7366508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0CE2FBC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7CB13C6C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4D7E3E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5328C4C9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52C38B8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70C7F61A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1D0C0771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381ABF59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7ED4E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 w14:paraId="3019B20C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8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61144440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5CA89EBD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部门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决算</w:t>
            </w:r>
          </w:p>
        </w:tc>
        <w:tc>
          <w:tcPr>
            <w:tcW w:w="3240" w:type="dxa"/>
            <w:vAlign w:val="center"/>
          </w:tcPr>
          <w:p w14:paraId="764D1E3D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部门职责、机构设置情况、决算收支增减变化、机关运行经费安排以及政府采购（主要包括部门政府采购支出总金额，货物、工程、服务的采购金额，授予中小企业的合同金额及占政府采购支出总金额的比重）等情况的说明，并对专业性较强的名词进行解释。结合工作进展情况，逐步公开国有资产占用、绩效评价结果等情况。</w:t>
            </w:r>
          </w:p>
        </w:tc>
        <w:tc>
          <w:tcPr>
            <w:tcW w:w="1800" w:type="dxa"/>
            <w:vMerge w:val="restart"/>
            <w:vAlign w:val="center"/>
          </w:tcPr>
          <w:p w14:paraId="6432762F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《财政部关于印发〈地方预决算公开操作规程〉的通知》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等法律法规和文件规定</w:t>
            </w:r>
          </w:p>
        </w:tc>
        <w:tc>
          <w:tcPr>
            <w:tcW w:w="1620" w:type="dxa"/>
            <w:vMerge w:val="restart"/>
            <w:vAlign w:val="center"/>
          </w:tcPr>
          <w:p w14:paraId="5B9E970F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本级政府财政部门批复后20日内</w:t>
            </w:r>
          </w:p>
        </w:tc>
        <w:tc>
          <w:tcPr>
            <w:tcW w:w="900" w:type="dxa"/>
            <w:vMerge w:val="restart"/>
            <w:vAlign w:val="center"/>
          </w:tcPr>
          <w:p w14:paraId="25F32643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地方各级预算部门</w:t>
            </w:r>
          </w:p>
        </w:tc>
        <w:tc>
          <w:tcPr>
            <w:tcW w:w="1800" w:type="dxa"/>
            <w:vMerge w:val="restart"/>
            <w:vAlign w:val="center"/>
          </w:tcPr>
          <w:p w14:paraId="3B84DA60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■部门网站</w:t>
            </w:r>
          </w:p>
          <w:p w14:paraId="5CB34E64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 w14:paraId="7DCAD122"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■政府公报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4EDD50A2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0603841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shd w:val="clear" w:color="auto" w:fill="auto"/>
            <w:vAlign w:val="center"/>
          </w:tcPr>
          <w:p w14:paraId="311809A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7ACA7A5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6BE259E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7ECDE86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 w14:paraId="43518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 w14:paraId="08963980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2ED07F82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57E3024F"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 w14:paraId="5104C04A"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没有数据的表格应当列出空表并说明。</w:t>
            </w:r>
          </w:p>
        </w:tc>
        <w:tc>
          <w:tcPr>
            <w:tcW w:w="1800" w:type="dxa"/>
            <w:vMerge w:val="continue"/>
            <w:vAlign w:val="center"/>
          </w:tcPr>
          <w:p w14:paraId="2C6A4F65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17726C48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19D8F2C3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 w14:paraId="02A954E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027703E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4A6AC7C9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 w14:paraId="57A8F4C0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425B278F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6055994D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 w14:paraId="07BF0424"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</w:tbl>
    <w:p w14:paraId="02B69DA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golian Baiti">
    <w:panose1 w:val="03000500000000000000"/>
    <w:charset w:val="00"/>
    <w:family w:val="script"/>
    <w:pitch w:val="default"/>
    <w:sig w:usb0="80000023" w:usb1="00000000" w:usb2="00020000" w:usb3="00000000" w:csb0="000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393"/>
    <w:rsid w:val="001E6D63"/>
    <w:rsid w:val="002967AA"/>
    <w:rsid w:val="002E0878"/>
    <w:rsid w:val="003B2C77"/>
    <w:rsid w:val="00416393"/>
    <w:rsid w:val="00612901"/>
    <w:rsid w:val="008438B0"/>
    <w:rsid w:val="00902A01"/>
    <w:rsid w:val="00A41EEC"/>
    <w:rsid w:val="00DE1F6E"/>
    <w:rsid w:val="00FA002F"/>
    <w:rsid w:val="02023FEC"/>
    <w:rsid w:val="1E8D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7"/>
    <w:semiHidden/>
    <w:qFormat/>
    <w:uiPriority w:val="0"/>
    <w:pPr>
      <w:jc w:val="left"/>
    </w:pPr>
  </w:style>
  <w:style w:type="paragraph" w:styleId="4">
    <w:name w:val="Balloon Text"/>
    <w:basedOn w:val="1"/>
    <w:link w:val="19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autoRedefine/>
    <w:semiHidden/>
    <w:qFormat/>
    <w:uiPriority w:val="0"/>
    <w:pPr>
      <w:tabs>
        <w:tab w:val="right" w:leader="dot" w:pos="14760"/>
      </w:tabs>
      <w:spacing w:line="700" w:lineRule="exact"/>
      <w:ind w:left="359" w:leftChars="171" w:right="332" w:rightChars="158"/>
    </w:pPr>
  </w:style>
  <w:style w:type="paragraph" w:styleId="8">
    <w:name w:val="annotation subject"/>
    <w:basedOn w:val="3"/>
    <w:next w:val="3"/>
    <w:link w:val="18"/>
    <w:semiHidden/>
    <w:qFormat/>
    <w:uiPriority w:val="0"/>
    <w:rPr>
      <w:b/>
      <w:bCs/>
    </w:rPr>
  </w:style>
  <w:style w:type="table" w:styleId="10">
    <w:name w:val="Table Grid"/>
    <w:basedOn w:val="9"/>
    <w:qFormat/>
    <w:uiPriority w:val="0"/>
    <w:rPr>
      <w:rFonts w:ascii="Calibri" w:hAnsi="Calibri" w:eastAsia="宋体" w:cs="Times New Roman"/>
      <w:kern w:val="0"/>
      <w:sz w:val="20"/>
      <w:szCs w:val="20"/>
      <w:lang w:bidi="mn-Mong-C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2">
    <w:name w:val="page number"/>
    <w:basedOn w:val="11"/>
    <w:qFormat/>
    <w:uiPriority w:val="0"/>
  </w:style>
  <w:style w:type="character" w:styleId="13">
    <w:name w:val="Hyperlink"/>
    <w:qFormat/>
    <w:uiPriority w:val="0"/>
    <w:rPr>
      <w:color w:val="0000FF"/>
      <w:u w:val="single"/>
    </w:rPr>
  </w:style>
  <w:style w:type="character" w:styleId="14">
    <w:name w:val="annotation reference"/>
    <w:semiHidden/>
    <w:qFormat/>
    <w:uiPriority w:val="0"/>
    <w:rPr>
      <w:sz w:val="21"/>
      <w:szCs w:val="21"/>
    </w:rPr>
  </w:style>
  <w:style w:type="character" w:customStyle="1" w:styleId="15">
    <w:name w:val="标题 1 字符"/>
    <w:basedOn w:val="11"/>
    <w:link w:val="2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paragraph" w:customStyle="1" w:styleId="16">
    <w:name w:val="列出段落"/>
    <w:basedOn w:val="1"/>
    <w:qFormat/>
    <w:uiPriority w:val="0"/>
    <w:pPr>
      <w:ind w:firstLine="420" w:firstLineChars="200"/>
    </w:pPr>
    <w:rPr>
      <w:rFonts w:ascii="等线" w:hAnsi="等线" w:eastAsia="等线"/>
    </w:rPr>
  </w:style>
  <w:style w:type="character" w:customStyle="1" w:styleId="17">
    <w:name w:val="批注文字 字符"/>
    <w:basedOn w:val="11"/>
    <w:link w:val="3"/>
    <w:semiHidden/>
    <w:qFormat/>
    <w:uiPriority w:val="0"/>
    <w:rPr>
      <w:rFonts w:ascii="Calibri" w:hAnsi="Calibri" w:eastAsia="宋体" w:cs="Times New Roman"/>
    </w:rPr>
  </w:style>
  <w:style w:type="character" w:customStyle="1" w:styleId="18">
    <w:name w:val="批注主题 字符"/>
    <w:basedOn w:val="17"/>
    <w:link w:val="8"/>
    <w:semiHidden/>
    <w:qFormat/>
    <w:uiPriority w:val="0"/>
    <w:rPr>
      <w:rFonts w:ascii="Calibri" w:hAnsi="Calibri" w:eastAsia="宋体" w:cs="Times New Roman"/>
      <w:b/>
      <w:bCs/>
    </w:rPr>
  </w:style>
  <w:style w:type="character" w:customStyle="1" w:styleId="19">
    <w:name w:val="批注框文本 字符"/>
    <w:basedOn w:val="11"/>
    <w:link w:val="4"/>
    <w:semiHidden/>
    <w:qFormat/>
    <w:uiPriority w:val="0"/>
    <w:rPr>
      <w:rFonts w:ascii="Calibri" w:hAnsi="Calibri" w:eastAsia="宋体" w:cs="Times New Roman"/>
      <w:sz w:val="18"/>
      <w:szCs w:val="18"/>
    </w:rPr>
  </w:style>
  <w:style w:type="paragraph" w:customStyle="1" w:styleId="20">
    <w:name w:val="列出段落1"/>
    <w:basedOn w:val="1"/>
    <w:qFormat/>
    <w:uiPriority w:val="0"/>
    <w:pPr>
      <w:ind w:firstLine="420" w:firstLineChars="200"/>
    </w:pPr>
  </w:style>
  <w:style w:type="character" w:customStyle="1" w:styleId="21">
    <w:name w:val="页眉 字符"/>
    <w:basedOn w:val="11"/>
    <w:link w:val="6"/>
    <w:qFormat/>
    <w:uiPriority w:val="0"/>
    <w:rPr>
      <w:rFonts w:ascii="Calibri" w:hAnsi="Calibri" w:eastAsia="宋体" w:cs="Times New Roman"/>
      <w:sz w:val="18"/>
      <w:szCs w:val="18"/>
    </w:rPr>
  </w:style>
  <w:style w:type="character" w:customStyle="1" w:styleId="22">
    <w:name w:val="页脚 字符"/>
    <w:basedOn w:val="11"/>
    <w:link w:val="5"/>
    <w:qFormat/>
    <w:uiPriority w:val="0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CFC20-8978-4B13-827A-712FEB1D7C0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3316</Words>
  <Characters>3324</Characters>
  <Lines>26</Lines>
  <Paragraphs>7</Paragraphs>
  <TotalTime>0</TotalTime>
  <ScaleCrop>false</ScaleCrop>
  <LinksUpToDate>false</LinksUpToDate>
  <CharactersWithSpaces>3330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2020-03-06T06:55:00Z</dcterms:created>
  <dc:creator>tai yuzhu</dc:creator>
  <cp:lastModifiedBy>喝酸奶不舔盖</cp:lastModifiedBy>
  <dcterms:modified xsi:type="dcterms:W3CDTF">2025-08-07T02:16:48Z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eyJoZGlkIjoiMWE4MjEwOGYzM2Y4OWRjYTZhMDVlY2E1MjQ4YzYxZmUiLCJ1c2VySWQiOiIxMDcwNDIxNjQ5In0=</vt:lpwstr>
  </property>
  <property fmtid="{D5CDD505-2E9C-101B-9397-08002B2CF9AE}" pid="3" name="KSOProductBuildVer">
    <vt:lpwstr>2052-12.1.0.21915</vt:lpwstr>
  </property>
  <property fmtid="{D5CDD505-2E9C-101B-9397-08002B2CF9AE}" pid="4" name="ICV">
    <vt:lpwstr>40CEF21FAD0A4C3CB135350F8FF753C1_13</vt:lpwstr>
  </property>
</Properties>
</file>