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D2DE80">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新巴尔虎右旗</w:t>
      </w:r>
      <w:r>
        <w:rPr>
          <w:rFonts w:hint="eastAsia" w:ascii="方正小标宋简体" w:hAnsi="方正小标宋简体" w:eastAsia="方正小标宋简体" w:cs="方正小标宋简体"/>
          <w:sz w:val="44"/>
          <w:szCs w:val="44"/>
        </w:rPr>
        <w:t>政府网站信息发布审核表</w:t>
      </w:r>
    </w:p>
    <w:p w14:paraId="58C4F4FA">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方正小标宋简体" w:hAnsi="方正小标宋简体" w:eastAsia="方正小标宋简体" w:cs="方正小标宋简体"/>
          <w:sz w:val="28"/>
          <w:szCs w:val="28"/>
        </w:rPr>
      </w:pPr>
      <w:r>
        <w:rPr>
          <w:rFonts w:hint="eastAsia"/>
          <w:sz w:val="24"/>
          <w:szCs w:val="24"/>
        </w:rPr>
        <w:t>填报单位：</w:t>
      </w:r>
      <w:r>
        <w:rPr>
          <w:rFonts w:hint="eastAsia"/>
          <w:sz w:val="24"/>
          <w:szCs w:val="24"/>
          <w:u w:val="single"/>
        </w:rPr>
        <w:t>_</w:t>
      </w:r>
      <w:r>
        <w:rPr>
          <w:rFonts w:hint="eastAsia"/>
          <w:sz w:val="24"/>
          <w:szCs w:val="24"/>
          <w:u w:val="single"/>
          <w:lang w:val="en-US" w:eastAsia="zh-CN"/>
        </w:rPr>
        <w:t xml:space="preserve"> 新右旗统计局                </w:t>
      </w:r>
      <w:r>
        <w:rPr>
          <w:rFonts w:hint="eastAsia" w:ascii="楷体" w:hAnsi="楷体" w:eastAsia="楷体" w:cs="楷体"/>
          <w:sz w:val="24"/>
          <w:szCs w:val="24"/>
          <w:u w:val="single"/>
          <w:lang w:val="en-US" w:eastAsia="zh-CN"/>
        </w:rPr>
        <w:t xml:space="preserve">         </w:t>
      </w:r>
      <w:r>
        <w:rPr>
          <w:rFonts w:hint="eastAsia" w:ascii="楷体" w:hAnsi="楷体" w:eastAsia="楷体" w:cs="楷体"/>
          <w:sz w:val="24"/>
          <w:szCs w:val="24"/>
          <w:u w:val="none"/>
          <w:lang w:val="en-US" w:eastAsia="zh-CN"/>
        </w:rPr>
        <w:t xml:space="preserve">                    </w:t>
      </w:r>
      <w:r>
        <w:rPr>
          <w:rFonts w:hint="eastAsia"/>
          <w:sz w:val="24"/>
          <w:szCs w:val="24"/>
        </w:rPr>
        <w:t>填报日期：</w:t>
      </w:r>
      <w:r>
        <w:rPr>
          <w:rFonts w:hint="eastAsia"/>
          <w:sz w:val="24"/>
          <w:szCs w:val="24"/>
          <w:lang w:val="en-US" w:eastAsia="zh-CN"/>
        </w:rPr>
        <w:t>2026</w:t>
      </w:r>
      <w:r>
        <w:rPr>
          <w:rFonts w:hint="eastAsia"/>
          <w:sz w:val="24"/>
          <w:szCs w:val="24"/>
        </w:rPr>
        <w:t>年</w:t>
      </w:r>
      <w:r>
        <w:rPr>
          <w:rFonts w:hint="eastAsia"/>
          <w:sz w:val="24"/>
          <w:szCs w:val="24"/>
          <w:lang w:val="en-US" w:eastAsia="zh-CN"/>
        </w:rPr>
        <w:t>5</w:t>
      </w:r>
      <w:r>
        <w:rPr>
          <w:rFonts w:hint="eastAsia"/>
          <w:sz w:val="24"/>
          <w:szCs w:val="24"/>
        </w:rPr>
        <w:t>月</w:t>
      </w:r>
      <w:r>
        <w:rPr>
          <w:rFonts w:hint="eastAsia"/>
          <w:sz w:val="24"/>
          <w:szCs w:val="24"/>
          <w:lang w:val="en-US" w:eastAsia="zh-CN"/>
        </w:rPr>
        <w:t>28</w:t>
      </w:r>
      <w:r>
        <w:rPr>
          <w:rFonts w:hint="eastAsia"/>
          <w:sz w:val="24"/>
          <w:szCs w:val="24"/>
        </w:rPr>
        <w:t xml:space="preserve">日 </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808"/>
        <w:gridCol w:w="3112"/>
        <w:gridCol w:w="1310"/>
        <w:gridCol w:w="3535"/>
      </w:tblGrid>
      <w:tr w14:paraId="3AF97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top w:val="single" w:color="auto" w:sz="8" w:space="0"/>
              <w:left w:val="single" w:color="auto" w:sz="8" w:space="0"/>
            </w:tcBorders>
            <w:tcMar>
              <w:top w:w="60" w:type="dxa"/>
              <w:left w:w="120" w:type="dxa"/>
              <w:bottom w:w="30" w:type="dxa"/>
              <w:right w:w="120" w:type="dxa"/>
            </w:tcMar>
            <w:vAlign w:val="center"/>
          </w:tcPr>
          <w:p w14:paraId="095408C9">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信息标题</w:t>
            </w:r>
          </w:p>
        </w:tc>
        <w:tc>
          <w:tcPr>
            <w:tcW w:w="7957" w:type="dxa"/>
            <w:gridSpan w:val="3"/>
            <w:tcBorders>
              <w:top w:val="single" w:color="auto" w:sz="8" w:space="0"/>
              <w:right w:val="single" w:color="auto" w:sz="8" w:space="0"/>
            </w:tcBorders>
            <w:tcMar>
              <w:top w:w="60" w:type="dxa"/>
              <w:left w:w="120" w:type="dxa"/>
              <w:bottom w:w="30" w:type="dxa"/>
              <w:right w:w="120" w:type="dxa"/>
            </w:tcMar>
            <w:vAlign w:val="center"/>
          </w:tcPr>
          <w:p w14:paraId="24DAB3BA">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sz w:val="20"/>
                <w:szCs w:val="21"/>
              </w:rPr>
              <w:t>2026年1-4月份新右旗经济延续较好增长态势</w:t>
            </w:r>
          </w:p>
        </w:tc>
      </w:tr>
      <w:tr w14:paraId="68E58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7" w:hRule="atLeast"/>
        </w:trPr>
        <w:tc>
          <w:tcPr>
            <w:tcW w:w="1808" w:type="dxa"/>
            <w:tcBorders>
              <w:left w:val="single" w:color="auto" w:sz="8" w:space="0"/>
            </w:tcBorders>
            <w:tcMar>
              <w:top w:w="60" w:type="dxa"/>
              <w:left w:w="120" w:type="dxa"/>
              <w:bottom w:w="30" w:type="dxa"/>
              <w:right w:w="120" w:type="dxa"/>
            </w:tcMar>
            <w:vAlign w:val="center"/>
          </w:tcPr>
          <w:p w14:paraId="2BEA2E2F">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撰稿人</w:t>
            </w:r>
          </w:p>
        </w:tc>
        <w:tc>
          <w:tcPr>
            <w:tcW w:w="3112" w:type="dxa"/>
            <w:tcMar>
              <w:top w:w="60" w:type="dxa"/>
              <w:left w:w="120" w:type="dxa"/>
              <w:bottom w:w="30" w:type="dxa"/>
              <w:right w:w="120" w:type="dxa"/>
            </w:tcMar>
            <w:vAlign w:val="center"/>
          </w:tcPr>
          <w:p w14:paraId="054F7C0B">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rFonts w:hint="eastAsia" w:eastAsiaTheme="minorEastAsia"/>
                <w:sz w:val="20"/>
                <w:szCs w:val="21"/>
                <w:lang w:eastAsia="zh-CN"/>
              </w:rPr>
            </w:pPr>
            <w:r>
              <w:rPr>
                <w:rFonts w:hint="eastAsia"/>
                <w:sz w:val="20"/>
                <w:szCs w:val="21"/>
                <w:lang w:eastAsia="zh-CN"/>
              </w:rPr>
              <w:t>郭瑶</w:t>
            </w:r>
          </w:p>
        </w:tc>
        <w:tc>
          <w:tcPr>
            <w:tcW w:w="1310" w:type="dxa"/>
            <w:tcMar>
              <w:top w:w="60" w:type="dxa"/>
              <w:left w:w="120" w:type="dxa"/>
              <w:bottom w:w="30" w:type="dxa"/>
              <w:right w:w="120" w:type="dxa"/>
            </w:tcMar>
            <w:vAlign w:val="center"/>
          </w:tcPr>
          <w:p w14:paraId="1872958F">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联系电话</w:t>
            </w:r>
          </w:p>
        </w:tc>
        <w:tc>
          <w:tcPr>
            <w:tcW w:w="3535" w:type="dxa"/>
            <w:tcBorders>
              <w:right w:val="single" w:color="auto" w:sz="8" w:space="0"/>
            </w:tcBorders>
            <w:tcMar>
              <w:top w:w="60" w:type="dxa"/>
              <w:left w:w="120" w:type="dxa"/>
              <w:bottom w:w="30" w:type="dxa"/>
              <w:right w:w="120" w:type="dxa"/>
            </w:tcMar>
            <w:vAlign w:val="center"/>
          </w:tcPr>
          <w:p w14:paraId="5E7062F0">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rFonts w:hint="default" w:eastAsiaTheme="minorEastAsia"/>
                <w:sz w:val="20"/>
                <w:szCs w:val="21"/>
                <w:lang w:val="en-US" w:eastAsia="zh-CN"/>
              </w:rPr>
            </w:pPr>
            <w:r>
              <w:rPr>
                <w:rFonts w:hint="eastAsia"/>
                <w:sz w:val="20"/>
                <w:szCs w:val="21"/>
                <w:lang w:val="en-US" w:eastAsia="zh-CN"/>
              </w:rPr>
              <w:t>15548009429</w:t>
            </w:r>
          </w:p>
        </w:tc>
      </w:tr>
      <w:tr w14:paraId="48806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765" w:type="dxa"/>
            <w:gridSpan w:val="4"/>
            <w:tcBorders>
              <w:left w:val="single" w:color="auto" w:sz="8" w:space="0"/>
              <w:right w:val="single" w:color="auto" w:sz="8" w:space="0"/>
            </w:tcBorders>
            <w:tcMar>
              <w:top w:w="60" w:type="dxa"/>
              <w:left w:w="120" w:type="dxa"/>
              <w:bottom w:w="30" w:type="dxa"/>
              <w:right w:w="120" w:type="dxa"/>
            </w:tcMar>
            <w:vAlign w:val="center"/>
          </w:tcPr>
          <w:p w14:paraId="62FD6484">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b/>
                <w:sz w:val="21"/>
                <w:szCs w:val="21"/>
                <w:lang w:val="en-US" w:eastAsia="zh-CN"/>
              </w:rPr>
              <w:t>一</w:t>
            </w:r>
            <w:r>
              <w:rPr>
                <w:rFonts w:ascii="Arial" w:hAnsi="Arial" w:eastAsia="等线" w:cs="Arial"/>
                <w:b/>
                <w:sz w:val="21"/>
                <w:szCs w:val="21"/>
              </w:rPr>
              <w:t>. 初审意见</w:t>
            </w:r>
          </w:p>
        </w:tc>
      </w:tr>
      <w:tr w14:paraId="4B890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left w:val="single" w:color="auto" w:sz="8" w:space="0"/>
            </w:tcBorders>
            <w:tcMar>
              <w:top w:w="60" w:type="dxa"/>
              <w:left w:w="120" w:type="dxa"/>
              <w:bottom w:w="30" w:type="dxa"/>
              <w:right w:w="120" w:type="dxa"/>
            </w:tcMar>
            <w:vAlign w:val="center"/>
          </w:tcPr>
          <w:p w14:paraId="7C6A1DC7">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rFonts w:hint="eastAsia" w:eastAsia="等线"/>
                <w:sz w:val="20"/>
                <w:szCs w:val="21"/>
                <w:lang w:eastAsia="zh-CN"/>
              </w:rPr>
            </w:pPr>
            <w:r>
              <w:rPr>
                <w:rFonts w:ascii="Arial" w:hAnsi="Arial" w:eastAsia="等线" w:cs="Arial"/>
                <w:sz w:val="21"/>
                <w:szCs w:val="21"/>
              </w:rPr>
              <w:t>初审人</w:t>
            </w:r>
            <w:r>
              <w:rPr>
                <w:rFonts w:hint="eastAsia" w:ascii="Arial" w:hAnsi="Arial" w:eastAsia="等线" w:cs="Arial"/>
                <w:sz w:val="21"/>
                <w:szCs w:val="21"/>
                <w:lang w:eastAsia="zh-CN"/>
              </w:rPr>
              <w:t>（</w:t>
            </w:r>
            <w:r>
              <w:rPr>
                <w:rFonts w:hint="eastAsia" w:ascii="Arial" w:hAnsi="Arial" w:eastAsia="等线" w:cs="Arial"/>
                <w:sz w:val="21"/>
                <w:szCs w:val="21"/>
                <w:lang w:val="en-US" w:eastAsia="zh-CN"/>
              </w:rPr>
              <w:t>签字</w:t>
            </w:r>
            <w:r>
              <w:rPr>
                <w:rFonts w:hint="eastAsia" w:ascii="Arial" w:hAnsi="Arial" w:eastAsia="等线" w:cs="Arial"/>
                <w:sz w:val="21"/>
                <w:szCs w:val="21"/>
                <w:lang w:eastAsia="zh-CN"/>
              </w:rPr>
              <w:t>）</w:t>
            </w:r>
          </w:p>
        </w:tc>
        <w:tc>
          <w:tcPr>
            <w:tcW w:w="7957" w:type="dxa"/>
            <w:gridSpan w:val="3"/>
            <w:tcBorders>
              <w:right w:val="single" w:color="auto" w:sz="8" w:space="0"/>
            </w:tcBorders>
            <w:tcMar>
              <w:top w:w="60" w:type="dxa"/>
              <w:left w:w="120" w:type="dxa"/>
              <w:bottom w:w="30" w:type="dxa"/>
              <w:right w:w="120" w:type="dxa"/>
            </w:tcMar>
            <w:vAlign w:val="center"/>
          </w:tcPr>
          <w:p w14:paraId="1BF50BCA">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position w:val="-8"/>
                <w:lang w:val="en-US" w:eastAsia="zh-CN"/>
              </w:rPr>
              <w:t xml:space="preserve">  </w:t>
            </w:r>
            <w:r>
              <w:rPr>
                <w:position w:val="-8"/>
              </w:rPr>
              <w:drawing>
                <wp:inline distT="0" distB="0" distL="0" distR="0">
                  <wp:extent cx="434340" cy="257175"/>
                  <wp:effectExtent l="0" t="0" r="3810" b="9525"/>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6"/>
                          <a:stretch>
                            <a:fillRect/>
                          </a:stretch>
                        </pic:blipFill>
                        <pic:spPr>
                          <a:xfrm>
                            <a:off x="0" y="0"/>
                            <a:ext cx="434633" cy="257197"/>
                          </a:xfrm>
                          <a:prstGeom prst="rect">
                            <a:avLst/>
                          </a:prstGeom>
                        </pic:spPr>
                      </pic:pic>
                    </a:graphicData>
                  </a:graphic>
                </wp:inline>
              </w:drawing>
            </w:r>
          </w:p>
        </w:tc>
      </w:tr>
      <w:tr w14:paraId="01BED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57" w:hRule="atLeast"/>
        </w:trPr>
        <w:tc>
          <w:tcPr>
            <w:tcW w:w="1808" w:type="dxa"/>
            <w:tcBorders>
              <w:left w:val="single" w:color="auto" w:sz="8" w:space="0"/>
            </w:tcBorders>
            <w:tcMar>
              <w:top w:w="60" w:type="dxa"/>
              <w:left w:w="120" w:type="dxa"/>
              <w:bottom w:w="30" w:type="dxa"/>
              <w:right w:w="120" w:type="dxa"/>
            </w:tcMar>
            <w:vAlign w:val="center"/>
          </w:tcPr>
          <w:p w14:paraId="7AF70B56">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审核内容</w:t>
            </w:r>
          </w:p>
        </w:tc>
        <w:tc>
          <w:tcPr>
            <w:tcW w:w="7957" w:type="dxa"/>
            <w:gridSpan w:val="3"/>
            <w:tcBorders>
              <w:right w:val="single" w:color="auto" w:sz="8" w:space="0"/>
            </w:tcBorders>
            <w:tcMar>
              <w:top w:w="60" w:type="dxa"/>
              <w:left w:w="120" w:type="dxa"/>
              <w:bottom w:w="30" w:type="dxa"/>
              <w:right w:w="120" w:type="dxa"/>
            </w:tcMar>
            <w:vAlign w:val="center"/>
          </w:tcPr>
          <w:p w14:paraId="29F18530">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sz w:val="21"/>
                <w:szCs w:val="21"/>
                <w:lang w:eastAsia="zh-CN"/>
              </w:rPr>
              <w:t>☑</w:t>
            </w:r>
            <w:r>
              <w:rPr>
                <w:rFonts w:ascii="Arial" w:hAnsi="Arial" w:eastAsia="等线" w:cs="Arial"/>
                <w:sz w:val="21"/>
                <w:szCs w:val="21"/>
              </w:rPr>
              <w:t xml:space="preserve"> 内容真实准确 </w:t>
            </w:r>
            <w:r>
              <w:rPr>
                <w:rFonts w:hint="eastAsia" w:ascii="Arial" w:hAnsi="Arial" w:eastAsia="等线" w:cs="Arial"/>
                <w:sz w:val="21"/>
                <w:szCs w:val="21"/>
                <w:lang w:eastAsia="zh-CN"/>
              </w:rPr>
              <w:t>□</w:t>
            </w:r>
            <w:r>
              <w:rPr>
                <w:rFonts w:ascii="Arial" w:hAnsi="Arial" w:eastAsia="等线" w:cs="Arial"/>
                <w:sz w:val="21"/>
                <w:szCs w:val="21"/>
              </w:rPr>
              <w:t xml:space="preserve"> 表述规范无误 </w:t>
            </w:r>
            <w:r>
              <w:rPr>
                <w:rFonts w:hint="eastAsia" w:ascii="Arial" w:hAnsi="Arial" w:eastAsia="等线" w:cs="Arial"/>
                <w:sz w:val="21"/>
                <w:szCs w:val="21"/>
                <w:lang w:eastAsia="zh-CN"/>
              </w:rPr>
              <w:t>□</w:t>
            </w:r>
            <w:r>
              <w:rPr>
                <w:rFonts w:ascii="Arial" w:hAnsi="Arial" w:eastAsia="等线" w:cs="Arial"/>
                <w:sz w:val="21"/>
                <w:szCs w:val="21"/>
              </w:rPr>
              <w:t xml:space="preserve"> 无涉密信息 </w:t>
            </w:r>
            <w:r>
              <w:rPr>
                <w:rFonts w:hint="eastAsia" w:ascii="Arial" w:hAnsi="Arial" w:eastAsia="等线" w:cs="Arial"/>
                <w:sz w:val="21"/>
                <w:szCs w:val="21"/>
                <w:lang w:eastAsia="zh-CN"/>
              </w:rPr>
              <w:t>□</w:t>
            </w:r>
            <w:r>
              <w:rPr>
                <w:rFonts w:ascii="Arial" w:hAnsi="Arial" w:eastAsia="等线" w:cs="Arial"/>
                <w:sz w:val="21"/>
                <w:szCs w:val="21"/>
              </w:rPr>
              <w:t xml:space="preserve"> 无敏感信息 </w:t>
            </w:r>
            <w:r>
              <w:rPr>
                <w:rFonts w:hint="eastAsia" w:ascii="Arial" w:hAnsi="Arial" w:eastAsia="等线" w:cs="Arial"/>
                <w:sz w:val="21"/>
                <w:szCs w:val="21"/>
                <w:lang w:eastAsia="zh-CN"/>
              </w:rPr>
              <w:t>□</w:t>
            </w:r>
            <w:r>
              <w:rPr>
                <w:rFonts w:ascii="Arial" w:hAnsi="Arial" w:eastAsia="等线" w:cs="Arial"/>
                <w:sz w:val="21"/>
                <w:szCs w:val="21"/>
              </w:rPr>
              <w:t xml:space="preserve"> 格式合规</w:t>
            </w:r>
          </w:p>
        </w:tc>
      </w:tr>
      <w:tr w14:paraId="5328B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left w:val="single" w:color="auto" w:sz="8" w:space="0"/>
            </w:tcBorders>
            <w:tcMar>
              <w:top w:w="60" w:type="dxa"/>
              <w:left w:w="120" w:type="dxa"/>
              <w:bottom w:w="30" w:type="dxa"/>
              <w:right w:w="120" w:type="dxa"/>
            </w:tcMar>
            <w:vAlign w:val="center"/>
          </w:tcPr>
          <w:p w14:paraId="6BF12A65">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初审意见</w:t>
            </w:r>
          </w:p>
        </w:tc>
        <w:tc>
          <w:tcPr>
            <w:tcW w:w="7957" w:type="dxa"/>
            <w:gridSpan w:val="3"/>
            <w:tcBorders>
              <w:right w:val="single" w:color="auto" w:sz="8" w:space="0"/>
            </w:tcBorders>
            <w:tcMar>
              <w:top w:w="60" w:type="dxa"/>
              <w:left w:w="120" w:type="dxa"/>
              <w:bottom w:w="30" w:type="dxa"/>
              <w:right w:w="120" w:type="dxa"/>
            </w:tcMar>
            <w:vAlign w:val="center"/>
          </w:tcPr>
          <w:p w14:paraId="30F98A58">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sz w:val="21"/>
                <w:szCs w:val="21"/>
                <w:lang w:eastAsia="zh-CN"/>
              </w:rPr>
              <w:t>☑</w:t>
            </w:r>
            <w:r>
              <w:rPr>
                <w:rFonts w:ascii="Arial" w:hAnsi="Arial" w:eastAsia="等线" w:cs="Arial"/>
                <w:sz w:val="21"/>
                <w:szCs w:val="21"/>
              </w:rPr>
              <w:t xml:space="preserve"> 同意发布  </w:t>
            </w:r>
            <w:r>
              <w:rPr>
                <w:rFonts w:hint="eastAsia" w:ascii="Arial" w:hAnsi="Arial" w:eastAsia="等线" w:cs="Arial"/>
                <w:sz w:val="21"/>
                <w:szCs w:val="21"/>
                <w:lang w:eastAsia="zh-CN"/>
              </w:rPr>
              <w:t>□</w:t>
            </w:r>
            <w:r>
              <w:rPr>
                <w:rFonts w:ascii="Arial" w:hAnsi="Arial" w:eastAsia="等线" w:cs="Arial"/>
                <w:sz w:val="21"/>
                <w:szCs w:val="21"/>
              </w:rPr>
              <w:t xml:space="preserve"> 修改后发布  </w:t>
            </w:r>
            <w:r>
              <w:rPr>
                <w:rFonts w:hint="eastAsia" w:ascii="Arial" w:hAnsi="Arial" w:eastAsia="等线" w:cs="Arial"/>
                <w:sz w:val="21"/>
                <w:szCs w:val="21"/>
                <w:lang w:eastAsia="zh-CN"/>
              </w:rPr>
              <w:t>□</w:t>
            </w:r>
            <w:r>
              <w:rPr>
                <w:rFonts w:ascii="Arial" w:hAnsi="Arial" w:eastAsia="等线" w:cs="Arial"/>
                <w:sz w:val="21"/>
                <w:szCs w:val="21"/>
              </w:rPr>
              <w:t xml:space="preserve"> 不予发布</w:t>
            </w:r>
          </w:p>
        </w:tc>
      </w:tr>
      <w:tr w14:paraId="25123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65" w:type="dxa"/>
            <w:gridSpan w:val="4"/>
            <w:tcBorders>
              <w:left w:val="single" w:color="auto" w:sz="8" w:space="0"/>
              <w:right w:val="single" w:color="auto" w:sz="8" w:space="0"/>
            </w:tcBorders>
            <w:tcMar>
              <w:top w:w="60" w:type="dxa"/>
              <w:left w:w="120" w:type="dxa"/>
              <w:bottom w:w="30" w:type="dxa"/>
              <w:right w:w="120" w:type="dxa"/>
            </w:tcMar>
            <w:vAlign w:val="center"/>
          </w:tcPr>
          <w:p w14:paraId="717DF37F">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drawing>
                <wp:anchor distT="0" distB="0" distL="0" distR="0" simplePos="0" relativeHeight="251659264" behindDoc="0" locked="0" layoutInCell="1" allowOverlap="1">
                  <wp:simplePos x="0" y="0"/>
                  <wp:positionH relativeFrom="column">
                    <wp:posOffset>1110615</wp:posOffset>
                  </wp:positionH>
                  <wp:positionV relativeFrom="paragraph">
                    <wp:posOffset>217805</wp:posOffset>
                  </wp:positionV>
                  <wp:extent cx="960120" cy="488950"/>
                  <wp:effectExtent l="0" t="0" r="11430" b="635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7"/>
                          <a:stretch>
                            <a:fillRect/>
                          </a:stretch>
                        </pic:blipFill>
                        <pic:spPr>
                          <a:xfrm>
                            <a:off x="0" y="0"/>
                            <a:ext cx="960120" cy="488950"/>
                          </a:xfrm>
                          <a:prstGeom prst="rect">
                            <a:avLst/>
                          </a:prstGeom>
                        </pic:spPr>
                      </pic:pic>
                    </a:graphicData>
                  </a:graphic>
                </wp:anchor>
              </w:drawing>
            </w:r>
            <w:r>
              <w:rPr>
                <w:rFonts w:hint="eastAsia" w:ascii="Arial" w:hAnsi="Arial" w:eastAsia="等线" w:cs="Arial"/>
                <w:b/>
                <w:sz w:val="21"/>
                <w:szCs w:val="21"/>
                <w:lang w:val="en-US" w:eastAsia="zh-CN"/>
              </w:rPr>
              <w:t>二</w:t>
            </w:r>
            <w:r>
              <w:rPr>
                <w:rFonts w:ascii="Arial" w:hAnsi="Arial" w:eastAsia="等线" w:cs="Arial"/>
                <w:b/>
                <w:sz w:val="21"/>
                <w:szCs w:val="21"/>
              </w:rPr>
              <w:t>. 复审意见</w:t>
            </w:r>
          </w:p>
        </w:tc>
      </w:tr>
      <w:tr w14:paraId="1E184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left w:val="single" w:color="auto" w:sz="8" w:space="0"/>
            </w:tcBorders>
            <w:tcMar>
              <w:top w:w="60" w:type="dxa"/>
              <w:left w:w="120" w:type="dxa"/>
              <w:bottom w:w="30" w:type="dxa"/>
              <w:right w:w="120" w:type="dxa"/>
            </w:tcMar>
            <w:vAlign w:val="center"/>
          </w:tcPr>
          <w:p w14:paraId="41443BB8">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rFonts w:hint="eastAsia" w:eastAsia="等线"/>
                <w:sz w:val="20"/>
                <w:szCs w:val="21"/>
                <w:lang w:eastAsia="zh-CN"/>
              </w:rPr>
            </w:pPr>
            <w:r>
              <w:rPr>
                <w:rFonts w:ascii="Arial" w:hAnsi="Arial" w:eastAsia="等线" w:cs="Arial"/>
                <w:sz w:val="21"/>
                <w:szCs w:val="21"/>
              </w:rPr>
              <w:t>复审人</w:t>
            </w:r>
            <w:r>
              <w:rPr>
                <w:rFonts w:hint="eastAsia" w:ascii="Arial" w:hAnsi="Arial" w:eastAsia="等线" w:cs="Arial"/>
                <w:sz w:val="21"/>
                <w:szCs w:val="21"/>
                <w:lang w:eastAsia="zh-CN"/>
              </w:rPr>
              <w:t>（</w:t>
            </w:r>
            <w:r>
              <w:rPr>
                <w:rFonts w:hint="eastAsia" w:ascii="Arial" w:hAnsi="Arial" w:eastAsia="等线" w:cs="Arial"/>
                <w:sz w:val="21"/>
                <w:szCs w:val="21"/>
                <w:lang w:val="en-US" w:eastAsia="zh-CN"/>
              </w:rPr>
              <w:t>签字</w:t>
            </w:r>
            <w:r>
              <w:rPr>
                <w:rFonts w:hint="eastAsia" w:ascii="Arial" w:hAnsi="Arial" w:eastAsia="等线" w:cs="Arial"/>
                <w:sz w:val="21"/>
                <w:szCs w:val="21"/>
                <w:lang w:eastAsia="zh-CN"/>
              </w:rPr>
              <w:t>）</w:t>
            </w:r>
          </w:p>
        </w:tc>
        <w:tc>
          <w:tcPr>
            <w:tcW w:w="3112" w:type="dxa"/>
            <w:tcMar>
              <w:top w:w="60" w:type="dxa"/>
              <w:left w:w="120" w:type="dxa"/>
              <w:bottom w:w="30" w:type="dxa"/>
              <w:right w:w="120" w:type="dxa"/>
            </w:tcMar>
            <w:vAlign w:val="center"/>
          </w:tcPr>
          <w:p w14:paraId="24025733">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p>
        </w:tc>
        <w:tc>
          <w:tcPr>
            <w:tcW w:w="1310" w:type="dxa"/>
            <w:tcMar>
              <w:top w:w="60" w:type="dxa"/>
              <w:left w:w="120" w:type="dxa"/>
              <w:bottom w:w="30" w:type="dxa"/>
              <w:right w:w="120" w:type="dxa"/>
            </w:tcMar>
            <w:vAlign w:val="center"/>
          </w:tcPr>
          <w:p w14:paraId="105723CB">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复审日期</w:t>
            </w:r>
          </w:p>
        </w:tc>
        <w:tc>
          <w:tcPr>
            <w:tcW w:w="3535" w:type="dxa"/>
            <w:tcBorders>
              <w:right w:val="single" w:color="auto" w:sz="8" w:space="0"/>
            </w:tcBorders>
            <w:tcMar>
              <w:top w:w="60" w:type="dxa"/>
              <w:left w:w="120" w:type="dxa"/>
              <w:bottom w:w="30" w:type="dxa"/>
              <w:right w:w="120" w:type="dxa"/>
            </w:tcMar>
            <w:vAlign w:val="center"/>
          </w:tcPr>
          <w:p w14:paraId="7E75AE4F">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sz w:val="21"/>
                <w:szCs w:val="21"/>
                <w:lang w:val="en-US" w:eastAsia="zh-CN"/>
              </w:rPr>
              <w:t>2026</w:t>
            </w:r>
            <w:r>
              <w:rPr>
                <w:rFonts w:ascii="Arial" w:hAnsi="Arial" w:eastAsia="等线" w:cs="Arial"/>
                <w:sz w:val="21"/>
                <w:szCs w:val="21"/>
              </w:rPr>
              <w:t>年</w:t>
            </w:r>
            <w:r>
              <w:rPr>
                <w:rFonts w:hint="eastAsia" w:ascii="Arial" w:hAnsi="Arial" w:eastAsia="等线" w:cs="Arial"/>
                <w:sz w:val="21"/>
                <w:szCs w:val="21"/>
                <w:lang w:val="en-US" w:eastAsia="zh-CN"/>
              </w:rPr>
              <w:t>5</w:t>
            </w:r>
            <w:r>
              <w:rPr>
                <w:rFonts w:ascii="Arial" w:hAnsi="Arial" w:eastAsia="等线" w:cs="Arial"/>
                <w:sz w:val="21"/>
                <w:szCs w:val="21"/>
              </w:rPr>
              <w:t>月</w:t>
            </w:r>
            <w:r>
              <w:rPr>
                <w:rFonts w:hint="eastAsia" w:ascii="Arial" w:hAnsi="Arial" w:eastAsia="等线" w:cs="Arial"/>
                <w:sz w:val="21"/>
                <w:szCs w:val="21"/>
                <w:lang w:val="en-US" w:eastAsia="zh-CN"/>
              </w:rPr>
              <w:t>28</w:t>
            </w:r>
            <w:r>
              <w:rPr>
                <w:rFonts w:ascii="Arial" w:hAnsi="Arial" w:eastAsia="等线" w:cs="Arial"/>
                <w:sz w:val="21"/>
                <w:szCs w:val="21"/>
              </w:rPr>
              <w:t>日</w:t>
            </w:r>
          </w:p>
        </w:tc>
      </w:tr>
      <w:tr w14:paraId="6B8CF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left w:val="single" w:color="auto" w:sz="8" w:space="0"/>
            </w:tcBorders>
            <w:tcMar>
              <w:top w:w="60" w:type="dxa"/>
              <w:left w:w="120" w:type="dxa"/>
              <w:bottom w:w="30" w:type="dxa"/>
              <w:right w:w="120" w:type="dxa"/>
            </w:tcMar>
            <w:vAlign w:val="center"/>
          </w:tcPr>
          <w:p w14:paraId="4BD3A4D6">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审核内容</w:t>
            </w:r>
          </w:p>
        </w:tc>
        <w:tc>
          <w:tcPr>
            <w:tcW w:w="7957" w:type="dxa"/>
            <w:gridSpan w:val="3"/>
            <w:tcBorders>
              <w:right w:val="single" w:color="auto" w:sz="8" w:space="0"/>
            </w:tcBorders>
            <w:tcMar>
              <w:top w:w="60" w:type="dxa"/>
              <w:left w:w="120" w:type="dxa"/>
              <w:bottom w:w="30" w:type="dxa"/>
              <w:right w:w="120" w:type="dxa"/>
            </w:tcMar>
            <w:vAlign w:val="center"/>
          </w:tcPr>
          <w:p w14:paraId="29D192BA">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sz w:val="21"/>
                <w:szCs w:val="21"/>
                <w:lang w:eastAsia="zh-CN"/>
              </w:rPr>
              <w:t>☑</w:t>
            </w:r>
            <w:r>
              <w:rPr>
                <w:rFonts w:ascii="Arial" w:hAnsi="Arial" w:eastAsia="等线" w:cs="Arial"/>
                <w:sz w:val="21"/>
                <w:szCs w:val="21"/>
              </w:rPr>
              <w:t xml:space="preserve"> 政策合规性 </w:t>
            </w:r>
            <w:r>
              <w:rPr>
                <w:rFonts w:hint="eastAsia" w:ascii="Arial" w:hAnsi="Arial" w:eastAsia="等线" w:cs="Arial"/>
                <w:sz w:val="21"/>
                <w:szCs w:val="21"/>
                <w:lang w:eastAsia="zh-CN"/>
              </w:rPr>
              <w:t>□</w:t>
            </w:r>
            <w:r>
              <w:rPr>
                <w:rFonts w:ascii="Arial" w:hAnsi="Arial" w:eastAsia="等线" w:cs="Arial"/>
                <w:sz w:val="21"/>
                <w:szCs w:val="21"/>
              </w:rPr>
              <w:t xml:space="preserve"> 表述严谨性 </w:t>
            </w:r>
            <w:r>
              <w:rPr>
                <w:rFonts w:hint="eastAsia" w:ascii="Arial" w:hAnsi="Arial" w:eastAsia="等线" w:cs="Arial"/>
                <w:sz w:val="21"/>
                <w:szCs w:val="21"/>
                <w:lang w:eastAsia="zh-CN"/>
              </w:rPr>
              <w:t>□</w:t>
            </w:r>
            <w:r>
              <w:rPr>
                <w:rFonts w:ascii="Arial" w:hAnsi="Arial" w:eastAsia="等线" w:cs="Arial"/>
                <w:sz w:val="21"/>
                <w:szCs w:val="21"/>
              </w:rPr>
              <w:t xml:space="preserve"> 涉密审查 </w:t>
            </w:r>
            <w:r>
              <w:rPr>
                <w:rFonts w:hint="eastAsia" w:ascii="Arial" w:hAnsi="Arial" w:eastAsia="等线" w:cs="Arial"/>
                <w:sz w:val="21"/>
                <w:szCs w:val="21"/>
                <w:lang w:eastAsia="zh-CN"/>
              </w:rPr>
              <w:t>□</w:t>
            </w:r>
            <w:r>
              <w:rPr>
                <w:rFonts w:ascii="Arial" w:hAnsi="Arial" w:eastAsia="等线" w:cs="Arial"/>
                <w:sz w:val="21"/>
                <w:szCs w:val="21"/>
              </w:rPr>
              <w:t xml:space="preserve"> 舆情风险 </w:t>
            </w:r>
            <w:r>
              <w:rPr>
                <w:rFonts w:hint="eastAsia" w:ascii="Arial" w:hAnsi="Arial" w:eastAsia="等线" w:cs="Arial"/>
                <w:sz w:val="21"/>
                <w:szCs w:val="21"/>
                <w:lang w:eastAsia="zh-CN"/>
              </w:rPr>
              <w:t>□</w:t>
            </w:r>
            <w:r>
              <w:rPr>
                <w:rFonts w:ascii="Arial" w:hAnsi="Arial" w:eastAsia="等线" w:cs="Arial"/>
                <w:sz w:val="21"/>
                <w:szCs w:val="21"/>
              </w:rPr>
              <w:t xml:space="preserve"> 格式规范</w:t>
            </w:r>
          </w:p>
        </w:tc>
      </w:tr>
      <w:tr w14:paraId="32E09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left w:val="single" w:color="auto" w:sz="8" w:space="0"/>
            </w:tcBorders>
            <w:tcMar>
              <w:top w:w="60" w:type="dxa"/>
              <w:left w:w="120" w:type="dxa"/>
              <w:bottom w:w="30" w:type="dxa"/>
              <w:right w:w="120" w:type="dxa"/>
            </w:tcMar>
            <w:vAlign w:val="center"/>
          </w:tcPr>
          <w:p w14:paraId="1778B552">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复审意见</w:t>
            </w:r>
          </w:p>
        </w:tc>
        <w:tc>
          <w:tcPr>
            <w:tcW w:w="7957" w:type="dxa"/>
            <w:gridSpan w:val="3"/>
            <w:tcBorders>
              <w:right w:val="single" w:color="auto" w:sz="8" w:space="0"/>
            </w:tcBorders>
            <w:tcMar>
              <w:top w:w="60" w:type="dxa"/>
              <w:left w:w="120" w:type="dxa"/>
              <w:bottom w:w="30" w:type="dxa"/>
              <w:right w:w="120" w:type="dxa"/>
            </w:tcMar>
            <w:vAlign w:val="center"/>
          </w:tcPr>
          <w:p w14:paraId="7BF949DC">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sz w:val="21"/>
                <w:szCs w:val="21"/>
                <w:lang w:eastAsia="zh-CN"/>
              </w:rPr>
              <w:t>☑</w:t>
            </w:r>
            <w:r>
              <w:rPr>
                <w:rFonts w:ascii="Arial" w:hAnsi="Arial" w:eastAsia="等线" w:cs="Arial"/>
                <w:sz w:val="21"/>
                <w:szCs w:val="21"/>
              </w:rPr>
              <w:t xml:space="preserve"> 同意发布  </w:t>
            </w:r>
            <w:r>
              <w:rPr>
                <w:rFonts w:hint="eastAsia" w:ascii="Arial" w:hAnsi="Arial" w:eastAsia="等线" w:cs="Arial"/>
                <w:sz w:val="21"/>
                <w:szCs w:val="21"/>
                <w:lang w:eastAsia="zh-CN"/>
              </w:rPr>
              <w:t>□</w:t>
            </w:r>
            <w:r>
              <w:rPr>
                <w:rFonts w:ascii="Arial" w:hAnsi="Arial" w:eastAsia="等线" w:cs="Arial"/>
                <w:sz w:val="21"/>
                <w:szCs w:val="21"/>
              </w:rPr>
              <w:t xml:space="preserve"> 修改后发布  </w:t>
            </w:r>
            <w:r>
              <w:rPr>
                <w:rFonts w:hint="eastAsia" w:ascii="Arial" w:hAnsi="Arial" w:eastAsia="等线" w:cs="Arial"/>
                <w:sz w:val="21"/>
                <w:szCs w:val="21"/>
                <w:lang w:eastAsia="zh-CN"/>
              </w:rPr>
              <w:t>□</w:t>
            </w:r>
            <w:r>
              <w:rPr>
                <w:rFonts w:ascii="Arial" w:hAnsi="Arial" w:eastAsia="等线" w:cs="Arial"/>
                <w:sz w:val="21"/>
                <w:szCs w:val="21"/>
              </w:rPr>
              <w:t xml:space="preserve"> 不予发布</w:t>
            </w:r>
          </w:p>
        </w:tc>
      </w:tr>
      <w:tr w14:paraId="47442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9765" w:type="dxa"/>
            <w:gridSpan w:val="4"/>
            <w:tcBorders>
              <w:left w:val="single" w:color="auto" w:sz="8" w:space="0"/>
              <w:right w:val="single" w:color="auto" w:sz="8" w:space="0"/>
            </w:tcBorders>
            <w:tcMar>
              <w:top w:w="60" w:type="dxa"/>
              <w:left w:w="120" w:type="dxa"/>
              <w:bottom w:w="30" w:type="dxa"/>
              <w:right w:w="120" w:type="dxa"/>
            </w:tcMar>
            <w:vAlign w:val="center"/>
          </w:tcPr>
          <w:p w14:paraId="67885265">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b/>
                <w:sz w:val="21"/>
                <w:szCs w:val="21"/>
                <w:lang w:val="en-US" w:eastAsia="zh-CN"/>
              </w:rPr>
              <w:t>三</w:t>
            </w:r>
            <w:r>
              <w:rPr>
                <w:rFonts w:ascii="Arial" w:hAnsi="Arial" w:eastAsia="等线" w:cs="Arial"/>
                <w:b/>
                <w:sz w:val="21"/>
                <w:szCs w:val="21"/>
              </w:rPr>
              <w:t>. 终审意见</w:t>
            </w:r>
          </w:p>
        </w:tc>
      </w:tr>
      <w:tr w14:paraId="08F9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left w:val="single" w:color="auto" w:sz="8" w:space="0"/>
            </w:tcBorders>
            <w:tcMar>
              <w:top w:w="60" w:type="dxa"/>
              <w:left w:w="120" w:type="dxa"/>
              <w:bottom w:w="30" w:type="dxa"/>
              <w:right w:w="120" w:type="dxa"/>
            </w:tcMar>
            <w:vAlign w:val="center"/>
          </w:tcPr>
          <w:p w14:paraId="7921745C">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rFonts w:hint="eastAsia" w:eastAsia="等线"/>
                <w:sz w:val="20"/>
                <w:szCs w:val="21"/>
                <w:lang w:eastAsia="zh-CN"/>
              </w:rPr>
            </w:pPr>
            <w:r>
              <w:rPr>
                <w:rFonts w:ascii="Arial" w:hAnsi="Arial" w:eastAsia="等线" w:cs="Arial"/>
                <w:sz w:val="21"/>
                <w:szCs w:val="21"/>
              </w:rPr>
              <w:t>终审人</w:t>
            </w:r>
            <w:r>
              <w:rPr>
                <w:rFonts w:hint="eastAsia" w:ascii="Arial" w:hAnsi="Arial" w:eastAsia="等线" w:cs="Arial"/>
                <w:sz w:val="21"/>
                <w:szCs w:val="21"/>
                <w:lang w:eastAsia="zh-CN"/>
              </w:rPr>
              <w:t>（</w:t>
            </w:r>
            <w:r>
              <w:rPr>
                <w:rFonts w:hint="eastAsia" w:ascii="Arial" w:hAnsi="Arial" w:eastAsia="等线" w:cs="Arial"/>
                <w:sz w:val="21"/>
                <w:szCs w:val="21"/>
                <w:lang w:val="en-US" w:eastAsia="zh-CN"/>
              </w:rPr>
              <w:t>签字</w:t>
            </w:r>
            <w:r>
              <w:rPr>
                <w:rFonts w:hint="eastAsia" w:ascii="Arial" w:hAnsi="Arial" w:eastAsia="等线" w:cs="Arial"/>
                <w:sz w:val="21"/>
                <w:szCs w:val="21"/>
                <w:lang w:eastAsia="zh-CN"/>
              </w:rPr>
              <w:t>）</w:t>
            </w:r>
          </w:p>
        </w:tc>
        <w:tc>
          <w:tcPr>
            <w:tcW w:w="3112" w:type="dxa"/>
            <w:tcMar>
              <w:top w:w="60" w:type="dxa"/>
              <w:left w:w="120" w:type="dxa"/>
              <w:bottom w:w="30" w:type="dxa"/>
              <w:right w:w="120" w:type="dxa"/>
            </w:tcMar>
            <w:vAlign w:val="center"/>
          </w:tcPr>
          <w:p w14:paraId="37A46A85">
            <w:pPr>
              <w:keepNext w:val="0"/>
              <w:keepLines w:val="0"/>
              <w:pageBreakBefore w:val="0"/>
              <w:widowControl w:val="0"/>
              <w:kinsoku/>
              <w:wordWrap/>
              <w:overflowPunct/>
              <w:topLinePunct w:val="0"/>
              <w:autoSpaceDE/>
              <w:autoSpaceDN/>
              <w:bidi w:val="0"/>
              <w:adjustRightInd/>
              <w:snapToGrid/>
              <w:spacing w:before="120" w:after="120" w:line="240" w:lineRule="auto"/>
              <w:ind w:left="0"/>
              <w:jc w:val="both"/>
              <w:textAlignment w:val="auto"/>
              <w:rPr>
                <w:rFonts w:hint="eastAsia" w:eastAsiaTheme="minorEastAsia"/>
                <w:sz w:val="20"/>
                <w:szCs w:val="21"/>
                <w:lang w:eastAsia="zh-CN"/>
              </w:rPr>
            </w:pPr>
            <w:r>
              <w:rPr>
                <w:rFonts w:hint="eastAsia" w:eastAsiaTheme="minorEastAsia"/>
                <w:sz w:val="20"/>
                <w:szCs w:val="21"/>
                <w:lang w:eastAsia="zh-CN"/>
              </w:rPr>
              <w:drawing>
                <wp:inline distT="0" distB="0" distL="114300" distR="114300">
                  <wp:extent cx="394970" cy="1264285"/>
                  <wp:effectExtent l="0" t="0" r="12065" b="5080"/>
                  <wp:docPr id="3" name="图片 3" descr="微信图片_20260528115205_177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60528115205_177_3"/>
                          <pic:cNvPicPr>
                            <a:picLocks noChangeAspect="1"/>
                          </pic:cNvPicPr>
                        </pic:nvPicPr>
                        <pic:blipFill>
                          <a:blip r:embed="rId8">
                            <a:lum bright="-12000" contrast="94000"/>
                          </a:blip>
                          <a:stretch>
                            <a:fillRect/>
                          </a:stretch>
                        </pic:blipFill>
                        <pic:spPr>
                          <a:xfrm rot="16200000">
                            <a:off x="0" y="0"/>
                            <a:ext cx="394970" cy="1264285"/>
                          </a:xfrm>
                          <a:prstGeom prst="rect">
                            <a:avLst/>
                          </a:prstGeom>
                        </pic:spPr>
                      </pic:pic>
                    </a:graphicData>
                  </a:graphic>
                </wp:inline>
              </w:drawing>
            </w:r>
          </w:p>
        </w:tc>
        <w:tc>
          <w:tcPr>
            <w:tcW w:w="1310" w:type="dxa"/>
            <w:tcMar>
              <w:top w:w="60" w:type="dxa"/>
              <w:left w:w="120" w:type="dxa"/>
              <w:bottom w:w="30" w:type="dxa"/>
              <w:right w:w="120" w:type="dxa"/>
            </w:tcMar>
            <w:vAlign w:val="center"/>
          </w:tcPr>
          <w:p w14:paraId="04F2192D">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终审日期</w:t>
            </w:r>
          </w:p>
        </w:tc>
        <w:tc>
          <w:tcPr>
            <w:tcW w:w="3535" w:type="dxa"/>
            <w:tcBorders>
              <w:right w:val="single" w:color="auto" w:sz="8" w:space="0"/>
            </w:tcBorders>
            <w:tcMar>
              <w:top w:w="60" w:type="dxa"/>
              <w:left w:w="120" w:type="dxa"/>
              <w:bottom w:w="30" w:type="dxa"/>
              <w:right w:w="120" w:type="dxa"/>
            </w:tcMar>
            <w:vAlign w:val="center"/>
          </w:tcPr>
          <w:p w14:paraId="38366612">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sz w:val="21"/>
                <w:szCs w:val="21"/>
                <w:lang w:val="en-US" w:eastAsia="zh-CN"/>
              </w:rPr>
              <w:t>2026</w:t>
            </w:r>
            <w:r>
              <w:rPr>
                <w:rFonts w:ascii="Arial" w:hAnsi="Arial" w:eastAsia="等线" w:cs="Arial"/>
                <w:sz w:val="21"/>
                <w:szCs w:val="21"/>
              </w:rPr>
              <w:t>年</w:t>
            </w:r>
            <w:r>
              <w:rPr>
                <w:rFonts w:hint="eastAsia" w:ascii="Arial" w:hAnsi="Arial" w:eastAsia="等线" w:cs="Arial"/>
                <w:sz w:val="21"/>
                <w:szCs w:val="21"/>
                <w:lang w:val="en-US" w:eastAsia="zh-CN"/>
              </w:rPr>
              <w:t>5</w:t>
            </w:r>
            <w:r>
              <w:rPr>
                <w:rFonts w:ascii="Arial" w:hAnsi="Arial" w:eastAsia="等线" w:cs="Arial"/>
                <w:sz w:val="21"/>
                <w:szCs w:val="21"/>
              </w:rPr>
              <w:t>月</w:t>
            </w:r>
            <w:r>
              <w:rPr>
                <w:rFonts w:hint="eastAsia" w:ascii="Arial" w:hAnsi="Arial" w:eastAsia="等线" w:cs="Arial"/>
                <w:sz w:val="21"/>
                <w:szCs w:val="21"/>
                <w:lang w:val="en-US" w:eastAsia="zh-CN"/>
              </w:rPr>
              <w:t>28</w:t>
            </w:r>
            <w:r>
              <w:rPr>
                <w:rFonts w:ascii="Arial" w:hAnsi="Arial" w:eastAsia="等线" w:cs="Arial"/>
                <w:sz w:val="21"/>
                <w:szCs w:val="21"/>
              </w:rPr>
              <w:t>日</w:t>
            </w:r>
          </w:p>
        </w:tc>
      </w:tr>
      <w:tr w14:paraId="09DFB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left w:val="single" w:color="auto" w:sz="8" w:space="0"/>
            </w:tcBorders>
            <w:tcMar>
              <w:top w:w="60" w:type="dxa"/>
              <w:left w:w="120" w:type="dxa"/>
              <w:bottom w:w="30" w:type="dxa"/>
              <w:right w:w="120" w:type="dxa"/>
            </w:tcMar>
            <w:vAlign w:val="center"/>
          </w:tcPr>
          <w:p w14:paraId="2122A0C3">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审核内容</w:t>
            </w:r>
          </w:p>
        </w:tc>
        <w:tc>
          <w:tcPr>
            <w:tcW w:w="7957" w:type="dxa"/>
            <w:gridSpan w:val="3"/>
            <w:tcBorders>
              <w:right w:val="single" w:color="auto" w:sz="8" w:space="0"/>
            </w:tcBorders>
            <w:tcMar>
              <w:top w:w="60" w:type="dxa"/>
              <w:left w:w="120" w:type="dxa"/>
              <w:bottom w:w="30" w:type="dxa"/>
              <w:right w:w="120" w:type="dxa"/>
            </w:tcMar>
            <w:vAlign w:val="center"/>
          </w:tcPr>
          <w:p w14:paraId="074D0F02">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sz w:val="21"/>
                <w:szCs w:val="21"/>
                <w:lang w:eastAsia="zh-CN"/>
              </w:rPr>
              <w:t>☑</w:t>
            </w:r>
            <w:r>
              <w:rPr>
                <w:rFonts w:ascii="Arial" w:hAnsi="Arial" w:eastAsia="等线" w:cs="Arial"/>
                <w:sz w:val="21"/>
                <w:szCs w:val="21"/>
              </w:rPr>
              <w:t xml:space="preserve"> 整体合规 </w:t>
            </w:r>
            <w:r>
              <w:rPr>
                <w:rFonts w:hint="eastAsia" w:ascii="Arial" w:hAnsi="Arial" w:eastAsia="等线" w:cs="Arial"/>
                <w:sz w:val="21"/>
                <w:szCs w:val="21"/>
                <w:lang w:eastAsia="zh-CN"/>
              </w:rPr>
              <w:t>□</w:t>
            </w:r>
            <w:r>
              <w:rPr>
                <w:rFonts w:ascii="Arial" w:hAnsi="Arial" w:eastAsia="等线" w:cs="Arial"/>
                <w:sz w:val="21"/>
                <w:szCs w:val="21"/>
              </w:rPr>
              <w:t xml:space="preserve"> 符合发布要求 </w:t>
            </w:r>
            <w:r>
              <w:rPr>
                <w:rFonts w:hint="eastAsia" w:ascii="Arial" w:hAnsi="Arial" w:eastAsia="等线" w:cs="Arial"/>
                <w:sz w:val="21"/>
                <w:szCs w:val="21"/>
                <w:lang w:eastAsia="zh-CN"/>
              </w:rPr>
              <w:t>□</w:t>
            </w:r>
            <w:r>
              <w:rPr>
                <w:rFonts w:ascii="Arial" w:hAnsi="Arial" w:eastAsia="等线" w:cs="Arial"/>
                <w:sz w:val="21"/>
                <w:szCs w:val="21"/>
              </w:rPr>
              <w:t xml:space="preserve"> 无重大风险</w:t>
            </w:r>
          </w:p>
        </w:tc>
      </w:tr>
      <w:tr w14:paraId="48456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left w:val="single" w:color="auto" w:sz="8" w:space="0"/>
            </w:tcBorders>
            <w:tcMar>
              <w:top w:w="60" w:type="dxa"/>
              <w:left w:w="120" w:type="dxa"/>
              <w:bottom w:w="30" w:type="dxa"/>
              <w:right w:w="120" w:type="dxa"/>
            </w:tcMar>
            <w:vAlign w:val="center"/>
          </w:tcPr>
          <w:p w14:paraId="773EF63E">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终审意见</w:t>
            </w:r>
          </w:p>
        </w:tc>
        <w:tc>
          <w:tcPr>
            <w:tcW w:w="7957" w:type="dxa"/>
            <w:gridSpan w:val="3"/>
            <w:tcBorders>
              <w:right w:val="single" w:color="auto" w:sz="8" w:space="0"/>
            </w:tcBorders>
            <w:tcMar>
              <w:top w:w="60" w:type="dxa"/>
              <w:left w:w="120" w:type="dxa"/>
              <w:bottom w:w="30" w:type="dxa"/>
              <w:right w:w="120" w:type="dxa"/>
            </w:tcMar>
            <w:vAlign w:val="center"/>
          </w:tcPr>
          <w:p w14:paraId="0B26CFAE">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sz w:val="21"/>
                <w:szCs w:val="21"/>
                <w:lang w:eastAsia="zh-CN"/>
              </w:rPr>
              <w:t>☑</w:t>
            </w:r>
            <w:r>
              <w:rPr>
                <w:rFonts w:ascii="Arial" w:hAnsi="Arial" w:eastAsia="等线" w:cs="Arial"/>
                <w:sz w:val="21"/>
                <w:szCs w:val="21"/>
              </w:rPr>
              <w:t xml:space="preserve"> 同意发布  </w:t>
            </w:r>
            <w:r>
              <w:rPr>
                <w:rFonts w:hint="eastAsia" w:ascii="Arial" w:hAnsi="Arial" w:eastAsia="等线" w:cs="Arial"/>
                <w:sz w:val="21"/>
                <w:szCs w:val="21"/>
                <w:lang w:eastAsia="zh-CN"/>
              </w:rPr>
              <w:t>□</w:t>
            </w:r>
            <w:r>
              <w:rPr>
                <w:rFonts w:ascii="Arial" w:hAnsi="Arial" w:eastAsia="等线" w:cs="Arial"/>
                <w:sz w:val="21"/>
                <w:szCs w:val="21"/>
              </w:rPr>
              <w:t xml:space="preserve"> 修改后重审  </w:t>
            </w:r>
            <w:r>
              <w:rPr>
                <w:rFonts w:hint="eastAsia" w:ascii="Arial" w:hAnsi="Arial" w:eastAsia="等线" w:cs="Arial"/>
                <w:sz w:val="21"/>
                <w:szCs w:val="21"/>
                <w:lang w:eastAsia="zh-CN"/>
              </w:rPr>
              <w:t>□</w:t>
            </w:r>
            <w:r>
              <w:rPr>
                <w:rFonts w:ascii="Arial" w:hAnsi="Arial" w:eastAsia="等线" w:cs="Arial"/>
                <w:sz w:val="21"/>
                <w:szCs w:val="21"/>
              </w:rPr>
              <w:t xml:space="preserve"> 不予发布</w:t>
            </w:r>
          </w:p>
        </w:tc>
      </w:tr>
      <w:tr w14:paraId="57838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08" w:type="dxa"/>
            <w:tcBorders>
              <w:left w:val="single" w:color="auto" w:sz="8" w:space="0"/>
            </w:tcBorders>
            <w:tcMar>
              <w:top w:w="60" w:type="dxa"/>
              <w:left w:w="120" w:type="dxa"/>
              <w:bottom w:w="30" w:type="dxa"/>
              <w:right w:w="120" w:type="dxa"/>
            </w:tcMar>
            <w:vAlign w:val="center"/>
          </w:tcPr>
          <w:p w14:paraId="64E184EF">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ascii="Arial" w:hAnsi="Arial" w:eastAsia="等线" w:cs="Arial"/>
                <w:sz w:val="21"/>
                <w:szCs w:val="21"/>
              </w:rPr>
              <w:t>备注</w:t>
            </w:r>
          </w:p>
        </w:tc>
        <w:tc>
          <w:tcPr>
            <w:tcW w:w="7957" w:type="dxa"/>
            <w:gridSpan w:val="3"/>
            <w:tcBorders>
              <w:right w:val="single" w:color="auto" w:sz="8" w:space="0"/>
            </w:tcBorders>
            <w:tcMar>
              <w:top w:w="60" w:type="dxa"/>
              <w:left w:w="120" w:type="dxa"/>
              <w:bottom w:w="30" w:type="dxa"/>
              <w:right w:w="120" w:type="dxa"/>
            </w:tcMar>
            <w:vAlign w:val="center"/>
          </w:tcPr>
          <w:p w14:paraId="087A22C5">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p>
        </w:tc>
      </w:tr>
      <w:tr w14:paraId="6F6F6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trPr>
        <w:tc>
          <w:tcPr>
            <w:tcW w:w="9765" w:type="dxa"/>
            <w:gridSpan w:val="4"/>
            <w:tcBorders>
              <w:left w:val="single" w:color="auto" w:sz="8" w:space="0"/>
              <w:right w:val="single" w:color="auto" w:sz="8" w:space="0"/>
            </w:tcBorders>
            <w:tcMar>
              <w:top w:w="60" w:type="dxa"/>
              <w:left w:w="120" w:type="dxa"/>
              <w:bottom w:w="30" w:type="dxa"/>
              <w:right w:w="120" w:type="dxa"/>
            </w:tcMar>
            <w:vAlign w:val="center"/>
          </w:tcPr>
          <w:p w14:paraId="5C852DB3">
            <w:pPr>
              <w:keepNext w:val="0"/>
              <w:keepLines w:val="0"/>
              <w:pageBreakBefore w:val="0"/>
              <w:widowControl w:val="0"/>
              <w:kinsoku/>
              <w:wordWrap/>
              <w:overflowPunct/>
              <w:topLinePunct w:val="0"/>
              <w:autoSpaceDE/>
              <w:autoSpaceDN/>
              <w:bidi w:val="0"/>
              <w:adjustRightInd/>
              <w:snapToGrid/>
              <w:spacing w:before="120" w:after="120" w:line="240" w:lineRule="exact"/>
              <w:ind w:left="0"/>
              <w:jc w:val="both"/>
              <w:textAlignment w:val="auto"/>
              <w:rPr>
                <w:sz w:val="20"/>
                <w:szCs w:val="21"/>
              </w:rPr>
            </w:pPr>
            <w:r>
              <w:rPr>
                <w:rFonts w:hint="eastAsia" w:ascii="Arial" w:hAnsi="Arial" w:eastAsia="等线" w:cs="Arial"/>
                <w:b/>
                <w:sz w:val="21"/>
                <w:szCs w:val="21"/>
                <w:lang w:val="en-US" w:eastAsia="zh-CN"/>
              </w:rPr>
              <w:t>四</w:t>
            </w:r>
            <w:r>
              <w:rPr>
                <w:rFonts w:ascii="Arial" w:hAnsi="Arial" w:eastAsia="等线" w:cs="Arial"/>
                <w:b/>
                <w:sz w:val="21"/>
                <w:szCs w:val="21"/>
              </w:rPr>
              <w:t>、信息原稿内容（可附页，直接在表格内填写或粘贴</w:t>
            </w:r>
            <w:r>
              <w:rPr>
                <w:rFonts w:hint="eastAsia" w:ascii="Arial" w:hAnsi="Arial" w:eastAsia="等线" w:cs="Arial"/>
                <w:b/>
                <w:sz w:val="21"/>
                <w:szCs w:val="21"/>
                <w:lang w:eastAsia="zh-CN"/>
              </w:rPr>
              <w:t>，</w:t>
            </w:r>
            <w:r>
              <w:rPr>
                <w:rFonts w:hint="eastAsia" w:ascii="Arial" w:hAnsi="Arial" w:eastAsia="等线" w:cs="Arial"/>
                <w:b/>
                <w:sz w:val="21"/>
                <w:szCs w:val="21"/>
                <w:lang w:val="en-US" w:eastAsia="zh-CN"/>
              </w:rPr>
              <w:t>格式：PDF或图片</w:t>
            </w:r>
            <w:r>
              <w:rPr>
                <w:rFonts w:ascii="Arial" w:hAnsi="Arial" w:eastAsia="等线" w:cs="Arial"/>
                <w:b/>
                <w:sz w:val="21"/>
                <w:szCs w:val="21"/>
              </w:rPr>
              <w:t>）</w:t>
            </w:r>
          </w:p>
        </w:tc>
      </w:tr>
      <w:tr w14:paraId="1704E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35" w:hRule="atLeast"/>
        </w:trPr>
        <w:tc>
          <w:tcPr>
            <w:tcW w:w="9765" w:type="dxa"/>
            <w:gridSpan w:val="4"/>
            <w:tcBorders>
              <w:left w:val="single" w:color="auto" w:sz="8" w:space="0"/>
              <w:bottom w:val="single" w:color="auto" w:sz="8" w:space="0"/>
              <w:right w:val="single" w:color="auto" w:sz="8" w:space="0"/>
            </w:tcBorders>
            <w:tcMar>
              <w:top w:w="60" w:type="dxa"/>
              <w:left w:w="120" w:type="dxa"/>
              <w:bottom w:w="30" w:type="dxa"/>
              <w:right w:w="120" w:type="dxa"/>
            </w:tcMar>
            <w:vAlign w:val="center"/>
          </w:tcPr>
          <w:p w14:paraId="4A654C6F">
            <w:pPr>
              <w:pStyle w:val="5"/>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color w:val="auto"/>
                <w:w w:val="100"/>
                <w:sz w:val="44"/>
                <w:szCs w:val="44"/>
                <w:highlight w:val="none"/>
                <w:lang w:val="en-US" w:eastAsia="zh-CN"/>
              </w:rPr>
            </w:pPr>
            <w:r>
              <w:rPr>
                <w:rFonts w:hint="eastAsia" w:ascii="方正小标宋简体" w:hAnsi="方正小标宋简体" w:eastAsia="方正小标宋简体" w:cs="方正小标宋简体"/>
                <w:color w:val="auto"/>
                <w:w w:val="100"/>
                <w:sz w:val="44"/>
                <w:szCs w:val="44"/>
                <w:highlight w:val="none"/>
                <w:lang w:val="en-US" w:eastAsia="zh-CN"/>
              </w:rPr>
              <w:t>2026年1-4月份</w:t>
            </w:r>
          </w:p>
          <w:p w14:paraId="10108719">
            <w:pPr>
              <w:pStyle w:val="5"/>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color w:val="auto"/>
                <w:w w:val="100"/>
                <w:sz w:val="44"/>
                <w:szCs w:val="44"/>
                <w:highlight w:val="none"/>
                <w:lang w:val="en-US" w:eastAsia="zh-CN"/>
              </w:rPr>
            </w:pPr>
            <w:r>
              <w:rPr>
                <w:rFonts w:hint="eastAsia" w:ascii="方正小标宋简体" w:hAnsi="方正小标宋简体" w:eastAsia="方正小标宋简体" w:cs="方正小标宋简体"/>
                <w:color w:val="auto"/>
                <w:w w:val="100"/>
                <w:sz w:val="44"/>
                <w:szCs w:val="44"/>
                <w:highlight w:val="none"/>
                <w:lang w:val="en-US" w:eastAsia="zh-CN"/>
              </w:rPr>
              <w:t>新右旗经济延续较好增长态势</w:t>
            </w:r>
          </w:p>
          <w:p w14:paraId="7B176C27">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小标宋简体" w:hAnsi="方正小标宋简体" w:eastAsia="方正小标宋简体" w:cs="方正小标宋简体"/>
                <w:color w:val="auto"/>
                <w:sz w:val="32"/>
                <w:szCs w:val="32"/>
                <w:highlight w:val="none"/>
                <w:lang w:val="en-US" w:eastAsia="zh-CN"/>
              </w:rPr>
            </w:pPr>
          </w:p>
          <w:p w14:paraId="182739A1">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color w:val="auto"/>
                <w:sz w:val="32"/>
                <w:szCs w:val="32"/>
                <w:highlight w:val="none"/>
                <w:lang w:val="en-US" w:eastAsia="zh-CN"/>
              </w:rPr>
            </w:pPr>
            <w:r>
              <w:rPr>
                <w:rFonts w:hint="eastAsia"/>
                <w:color w:val="auto"/>
                <w:sz w:val="32"/>
                <w:szCs w:val="32"/>
                <w:highlight w:val="none"/>
                <w:lang w:val="en-US" w:eastAsia="zh-CN"/>
              </w:rPr>
              <w:t>1-4月份，全旗上下深入贯彻党的二十大和二十届历次全会以及中央经济工作会议精神，深入落实习近平总书记对内蒙古系列重要讲话重要指示精神，以铸牢中华民族共同体意识为各项工作的主线，坚持稳中求进工作总基调，加快培育发展新质生产力，工业、投资稳步增长，消费领域向好恢复，全旗经济延续较好增长态势。</w:t>
            </w:r>
          </w:p>
          <w:p w14:paraId="06FC9797">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一、工业经济实现快速增长 主要产品有增有降</w:t>
            </w:r>
          </w:p>
          <w:p w14:paraId="38528EEA">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color w:val="auto"/>
                <w:sz w:val="32"/>
                <w:szCs w:val="32"/>
                <w:highlight w:val="none"/>
                <w:lang w:val="en-US" w:eastAsia="zh-CN"/>
              </w:rPr>
            </w:pPr>
            <w:r>
              <w:rPr>
                <w:rFonts w:hint="eastAsia"/>
                <w:color w:val="auto"/>
                <w:sz w:val="32"/>
                <w:szCs w:val="32"/>
                <w:highlight w:val="none"/>
                <w:lang w:val="en-US" w:eastAsia="zh-CN"/>
              </w:rPr>
              <w:t>全旗规模以上工业增加值同比增长15.8%。从产品产量看，铅精矿粉同比增长227.9%，褐煤同比增长9.3%，发电量同比增长3.2%，铜精矿粉同比下降2.9%，锌精矿粉同比下降42.6%。</w:t>
            </w:r>
          </w:p>
          <w:p w14:paraId="1AD1BC2E">
            <w:pPr>
              <w:pStyle w:val="5"/>
              <w:keepNext w:val="0"/>
              <w:keepLines w:val="0"/>
              <w:pageBreakBefore w:val="0"/>
              <w:widowControl w:val="0"/>
              <w:shd w:val="clear" w:color="auto" w:fill="FFFFFF"/>
              <w:kinsoku/>
              <w:wordWrap/>
              <w:overflowPunct/>
              <w:topLinePunct w:val="0"/>
              <w:autoSpaceDE/>
              <w:autoSpaceDN/>
              <w:bidi w:val="0"/>
              <w:adjustRightInd/>
              <w:snapToGrid/>
              <w:spacing w:line="560" w:lineRule="exact"/>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二、固定资产投资高速增长 工业项目主导发力</w:t>
            </w:r>
          </w:p>
          <w:p w14:paraId="62FF9209">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color w:val="auto"/>
                <w:sz w:val="32"/>
                <w:szCs w:val="32"/>
                <w:highlight w:val="none"/>
                <w:lang w:val="en-US" w:eastAsia="zh-CN"/>
              </w:rPr>
            </w:pPr>
            <w:r>
              <w:rPr>
                <w:rFonts w:hint="eastAsia"/>
                <w:color w:val="auto"/>
                <w:sz w:val="32"/>
                <w:szCs w:val="32"/>
                <w:highlight w:val="none"/>
                <w:lang w:val="en-US" w:eastAsia="zh-CN"/>
              </w:rPr>
              <w:t>全旗开复工项目共10个，其中9个为工业项目，限额以上固定资产投资同比增长46.4%。</w:t>
            </w:r>
          </w:p>
          <w:p w14:paraId="21502AC0">
            <w:pPr>
              <w:pStyle w:val="5"/>
              <w:keepNext w:val="0"/>
              <w:keepLines w:val="0"/>
              <w:pageBreakBefore w:val="0"/>
              <w:widowControl w:val="0"/>
              <w:shd w:val="clear" w:color="auto" w:fill="FFFFFF"/>
              <w:kinsoku/>
              <w:wordWrap/>
              <w:overflowPunct/>
              <w:topLinePunct w:val="0"/>
              <w:autoSpaceDE/>
              <w:autoSpaceDN/>
              <w:bidi w:val="0"/>
              <w:adjustRightInd/>
              <w:snapToGrid/>
              <w:spacing w:line="560" w:lineRule="exact"/>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三、消费市场降幅有效收窄 进出口趋势不同</w:t>
            </w:r>
          </w:p>
          <w:p w14:paraId="5FC24CFF">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color w:val="auto"/>
                <w:sz w:val="32"/>
                <w:szCs w:val="32"/>
                <w:highlight w:val="none"/>
                <w:lang w:val="en-US" w:eastAsia="zh-CN"/>
              </w:rPr>
            </w:pPr>
            <w:r>
              <w:rPr>
                <w:rFonts w:hint="eastAsia"/>
                <w:color w:val="auto"/>
                <w:sz w:val="32"/>
                <w:szCs w:val="32"/>
                <w:highlight w:val="none"/>
                <w:lang w:val="en-US" w:eastAsia="zh-CN"/>
              </w:rPr>
              <w:t>全旗社会消费品零售总额3.02亿元，同比下降3.6%。</w:t>
            </w:r>
          </w:p>
          <w:p w14:paraId="7B831280">
            <w:pPr>
              <w:pStyle w:val="5"/>
              <w:keepNext w:val="0"/>
              <w:keepLines w:val="0"/>
              <w:pageBreakBefore w:val="0"/>
              <w:widowControl w:val="0"/>
              <w:shd w:val="clear" w:color="auto" w:fill="FFFFFF"/>
              <w:kinsoku/>
              <w:wordWrap/>
              <w:overflowPunct/>
              <w:topLinePunct w:val="0"/>
              <w:autoSpaceDE/>
              <w:autoSpaceDN/>
              <w:bidi w:val="0"/>
              <w:adjustRightInd/>
              <w:snapToGrid/>
              <w:spacing w:line="560" w:lineRule="exact"/>
              <w:textAlignment w:val="auto"/>
              <w:rPr>
                <w:rFonts w:hint="eastAsia"/>
                <w:color w:val="auto"/>
                <w:sz w:val="32"/>
                <w:szCs w:val="32"/>
                <w:highlight w:val="none"/>
                <w:lang w:val="en-US" w:eastAsia="zh-CN"/>
              </w:rPr>
            </w:pPr>
            <w:r>
              <w:rPr>
                <w:rFonts w:hint="eastAsia"/>
                <w:color w:val="auto"/>
                <w:sz w:val="32"/>
                <w:szCs w:val="32"/>
                <w:highlight w:val="none"/>
                <w:lang w:val="en-US" w:eastAsia="zh-CN"/>
              </w:rPr>
              <w:t>进出口货物贸易成交额</w:t>
            </w:r>
            <w:r>
              <w:rPr>
                <w:rFonts w:hint="eastAsia"/>
                <w:color w:val="auto"/>
                <w:szCs w:val="32"/>
                <w:highlight w:val="none"/>
              </w:rPr>
              <w:t>2.24</w:t>
            </w:r>
            <w:r>
              <w:rPr>
                <w:rFonts w:hint="eastAsia"/>
                <w:color w:val="auto"/>
                <w:sz w:val="32"/>
                <w:szCs w:val="32"/>
                <w:highlight w:val="none"/>
                <w:lang w:val="en-US" w:eastAsia="zh-CN"/>
              </w:rPr>
              <w:t>亿元，同比增长</w:t>
            </w:r>
            <w:r>
              <w:rPr>
                <w:rFonts w:hint="eastAsia"/>
                <w:color w:val="auto"/>
                <w:szCs w:val="32"/>
                <w:highlight w:val="none"/>
              </w:rPr>
              <w:t>161.4</w:t>
            </w:r>
            <w:r>
              <w:rPr>
                <w:rFonts w:hint="eastAsia"/>
                <w:color w:val="auto"/>
                <w:sz w:val="32"/>
                <w:szCs w:val="32"/>
                <w:highlight w:val="none"/>
                <w:lang w:val="en-US" w:eastAsia="zh-CN"/>
              </w:rPr>
              <w:t>%。其中，进口货物贸易成交额</w:t>
            </w:r>
            <w:r>
              <w:rPr>
                <w:rFonts w:hint="eastAsia"/>
                <w:color w:val="auto"/>
                <w:szCs w:val="32"/>
                <w:highlight w:val="none"/>
              </w:rPr>
              <w:t>1.68</w:t>
            </w:r>
            <w:r>
              <w:rPr>
                <w:rFonts w:hint="eastAsia"/>
                <w:color w:val="auto"/>
                <w:sz w:val="32"/>
                <w:szCs w:val="32"/>
                <w:highlight w:val="none"/>
                <w:lang w:val="en-US" w:eastAsia="zh-CN"/>
              </w:rPr>
              <w:t>亿元，同比增长</w:t>
            </w:r>
            <w:r>
              <w:rPr>
                <w:rFonts w:hint="eastAsia"/>
                <w:color w:val="auto"/>
                <w:szCs w:val="32"/>
                <w:highlight w:val="none"/>
              </w:rPr>
              <w:t>541.6</w:t>
            </w:r>
            <w:r>
              <w:rPr>
                <w:rFonts w:hint="eastAsia"/>
                <w:color w:val="auto"/>
                <w:sz w:val="32"/>
                <w:szCs w:val="32"/>
                <w:highlight w:val="none"/>
                <w:lang w:val="en-US" w:eastAsia="zh-CN"/>
              </w:rPr>
              <w:t>%，出口货物贸易成交额</w:t>
            </w:r>
            <w:r>
              <w:rPr>
                <w:rFonts w:hint="eastAsia"/>
                <w:color w:val="auto"/>
                <w:szCs w:val="32"/>
                <w:highlight w:val="none"/>
              </w:rPr>
              <w:t>0.56</w:t>
            </w:r>
            <w:r>
              <w:rPr>
                <w:rFonts w:hint="eastAsia"/>
                <w:color w:val="auto"/>
                <w:sz w:val="32"/>
                <w:szCs w:val="32"/>
                <w:highlight w:val="none"/>
                <w:lang w:val="en-US" w:eastAsia="zh-CN"/>
              </w:rPr>
              <w:t>亿元，同比下降</w:t>
            </w:r>
            <w:r>
              <w:rPr>
                <w:rFonts w:hint="eastAsia"/>
                <w:color w:val="auto"/>
                <w:szCs w:val="32"/>
                <w:highlight w:val="none"/>
              </w:rPr>
              <w:t>5.9</w:t>
            </w:r>
            <w:r>
              <w:rPr>
                <w:rFonts w:hint="eastAsia"/>
                <w:color w:val="auto"/>
                <w:sz w:val="32"/>
                <w:szCs w:val="32"/>
                <w:highlight w:val="none"/>
                <w:lang w:val="en-US" w:eastAsia="zh-CN"/>
              </w:rPr>
              <w:t>%。进出口货运量</w:t>
            </w:r>
            <w:r>
              <w:rPr>
                <w:rFonts w:hint="eastAsia"/>
                <w:color w:val="auto"/>
                <w:szCs w:val="32"/>
                <w:highlight w:val="none"/>
              </w:rPr>
              <w:t>14.54</w:t>
            </w:r>
            <w:r>
              <w:rPr>
                <w:rFonts w:hint="eastAsia"/>
                <w:color w:val="auto"/>
                <w:sz w:val="32"/>
                <w:szCs w:val="32"/>
                <w:highlight w:val="none"/>
                <w:lang w:val="en-US" w:eastAsia="zh-CN"/>
              </w:rPr>
              <w:t>万吨，同比增长</w:t>
            </w:r>
            <w:r>
              <w:rPr>
                <w:rFonts w:hint="eastAsia"/>
                <w:color w:val="auto"/>
                <w:szCs w:val="32"/>
                <w:highlight w:val="none"/>
              </w:rPr>
              <w:t>158.3</w:t>
            </w:r>
            <w:r>
              <w:rPr>
                <w:rFonts w:hint="eastAsia"/>
                <w:color w:val="auto"/>
                <w:sz w:val="32"/>
                <w:szCs w:val="32"/>
                <w:highlight w:val="none"/>
                <w:lang w:val="en-US" w:eastAsia="zh-CN"/>
              </w:rPr>
              <w:t>%。其中，进口货运量</w:t>
            </w:r>
            <w:r>
              <w:rPr>
                <w:rFonts w:hint="eastAsia"/>
                <w:color w:val="auto"/>
                <w:szCs w:val="32"/>
                <w:highlight w:val="none"/>
              </w:rPr>
              <w:t>11.50</w:t>
            </w:r>
            <w:r>
              <w:rPr>
                <w:rFonts w:hint="eastAsia"/>
                <w:color w:val="auto"/>
                <w:sz w:val="32"/>
                <w:szCs w:val="32"/>
                <w:highlight w:val="none"/>
                <w:lang w:val="en-US" w:eastAsia="zh-CN"/>
              </w:rPr>
              <w:t>万吨，同比增长</w:t>
            </w:r>
            <w:r>
              <w:rPr>
                <w:rFonts w:hint="eastAsia"/>
                <w:color w:val="auto"/>
                <w:szCs w:val="32"/>
                <w:highlight w:val="none"/>
              </w:rPr>
              <w:t>239.7</w:t>
            </w:r>
            <w:r>
              <w:rPr>
                <w:rFonts w:hint="eastAsia"/>
                <w:color w:val="auto"/>
                <w:sz w:val="32"/>
                <w:szCs w:val="32"/>
                <w:highlight w:val="none"/>
                <w:lang w:val="en-US" w:eastAsia="zh-CN"/>
              </w:rPr>
              <w:t>%，出口货运量</w:t>
            </w:r>
            <w:r>
              <w:rPr>
                <w:rFonts w:hint="eastAsia"/>
                <w:color w:val="auto"/>
                <w:szCs w:val="32"/>
                <w:highlight w:val="none"/>
              </w:rPr>
              <w:t>3.04</w:t>
            </w:r>
            <w:r>
              <w:rPr>
                <w:rFonts w:hint="eastAsia"/>
                <w:color w:val="auto"/>
                <w:sz w:val="32"/>
                <w:szCs w:val="32"/>
                <w:highlight w:val="none"/>
                <w:lang w:val="en-US" w:eastAsia="zh-CN"/>
              </w:rPr>
              <w:t>万吨，同比增长</w:t>
            </w:r>
            <w:r>
              <w:rPr>
                <w:rFonts w:hint="eastAsia"/>
                <w:color w:val="auto"/>
                <w:szCs w:val="32"/>
                <w:highlight w:val="none"/>
              </w:rPr>
              <w:t>35.6</w:t>
            </w:r>
            <w:r>
              <w:rPr>
                <w:rFonts w:hint="eastAsia"/>
                <w:color w:val="auto"/>
                <w:sz w:val="32"/>
                <w:szCs w:val="32"/>
                <w:highlight w:val="none"/>
                <w:lang w:val="en-US" w:eastAsia="zh-CN"/>
              </w:rPr>
              <w:t>%。出入境客运量</w:t>
            </w:r>
            <w:r>
              <w:rPr>
                <w:rFonts w:hint="eastAsia"/>
                <w:color w:val="auto"/>
                <w:szCs w:val="32"/>
                <w:highlight w:val="none"/>
              </w:rPr>
              <w:t>3.20</w:t>
            </w:r>
            <w:r>
              <w:rPr>
                <w:rFonts w:hint="eastAsia"/>
                <w:color w:val="auto"/>
                <w:sz w:val="32"/>
                <w:szCs w:val="32"/>
                <w:highlight w:val="none"/>
                <w:lang w:val="en-US" w:eastAsia="zh-CN"/>
              </w:rPr>
              <w:t>万人次，同比下降</w:t>
            </w:r>
            <w:r>
              <w:rPr>
                <w:rFonts w:hint="eastAsia"/>
                <w:color w:val="auto"/>
                <w:szCs w:val="32"/>
                <w:highlight w:val="none"/>
              </w:rPr>
              <w:t>9.0</w:t>
            </w:r>
            <w:r>
              <w:rPr>
                <w:rFonts w:hint="eastAsia"/>
                <w:color w:val="auto"/>
                <w:sz w:val="32"/>
                <w:szCs w:val="32"/>
                <w:highlight w:val="none"/>
                <w:lang w:val="en-US" w:eastAsia="zh-CN"/>
              </w:rPr>
              <w:t>%。其中，入境客运量</w:t>
            </w:r>
            <w:r>
              <w:rPr>
                <w:rFonts w:hint="eastAsia"/>
                <w:color w:val="auto"/>
                <w:szCs w:val="32"/>
                <w:highlight w:val="none"/>
              </w:rPr>
              <w:t>1.50</w:t>
            </w:r>
            <w:r>
              <w:rPr>
                <w:rFonts w:hint="eastAsia"/>
                <w:color w:val="auto"/>
                <w:sz w:val="32"/>
                <w:szCs w:val="32"/>
                <w:highlight w:val="none"/>
                <w:lang w:val="en-US" w:eastAsia="zh-CN"/>
              </w:rPr>
              <w:t>万人次，同比下降</w:t>
            </w:r>
            <w:r>
              <w:rPr>
                <w:rFonts w:hint="eastAsia"/>
                <w:color w:val="auto"/>
                <w:szCs w:val="32"/>
                <w:highlight w:val="none"/>
              </w:rPr>
              <w:t>10.0</w:t>
            </w:r>
            <w:r>
              <w:rPr>
                <w:rFonts w:hint="eastAsia"/>
                <w:color w:val="auto"/>
                <w:sz w:val="32"/>
                <w:szCs w:val="32"/>
                <w:highlight w:val="none"/>
                <w:lang w:val="en-US" w:eastAsia="zh-CN"/>
              </w:rPr>
              <w:t>%，出境客运量</w:t>
            </w:r>
            <w:r>
              <w:rPr>
                <w:rFonts w:hint="eastAsia"/>
                <w:color w:val="auto"/>
                <w:szCs w:val="32"/>
                <w:highlight w:val="none"/>
              </w:rPr>
              <w:t>1.70</w:t>
            </w:r>
            <w:r>
              <w:rPr>
                <w:rFonts w:hint="eastAsia"/>
                <w:color w:val="auto"/>
                <w:sz w:val="32"/>
                <w:szCs w:val="32"/>
                <w:highlight w:val="none"/>
                <w:lang w:val="en-US" w:eastAsia="zh-CN"/>
              </w:rPr>
              <w:t>万人次，同比下降</w:t>
            </w:r>
            <w:r>
              <w:rPr>
                <w:rFonts w:hint="eastAsia"/>
                <w:color w:val="auto"/>
                <w:szCs w:val="32"/>
                <w:highlight w:val="none"/>
              </w:rPr>
              <w:t>8.1</w:t>
            </w:r>
            <w:r>
              <w:rPr>
                <w:rFonts w:hint="eastAsia"/>
                <w:color w:val="auto"/>
                <w:sz w:val="32"/>
                <w:szCs w:val="32"/>
                <w:highlight w:val="none"/>
                <w:lang w:val="en-US" w:eastAsia="zh-CN"/>
              </w:rPr>
              <w:t>%。</w:t>
            </w:r>
          </w:p>
          <w:p w14:paraId="3F7D81A0">
            <w:pPr>
              <w:pStyle w:val="5"/>
              <w:keepNext w:val="0"/>
              <w:keepLines w:val="0"/>
              <w:pageBreakBefore w:val="0"/>
              <w:widowControl w:val="0"/>
              <w:shd w:val="clear" w:color="auto" w:fill="FFFFFF"/>
              <w:kinsoku/>
              <w:wordWrap/>
              <w:overflowPunct/>
              <w:topLinePunct w:val="0"/>
              <w:autoSpaceDE/>
              <w:autoSpaceDN/>
              <w:bidi w:val="0"/>
              <w:adjustRightInd/>
              <w:snapToGrid/>
              <w:spacing w:line="560" w:lineRule="exact"/>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四、财政收支运行节奏放缓 金融存贷规模稳步提升</w:t>
            </w:r>
          </w:p>
          <w:p w14:paraId="74807AAB">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color w:val="auto"/>
                <w:sz w:val="32"/>
                <w:szCs w:val="32"/>
                <w:highlight w:val="none"/>
                <w:lang w:val="en-US" w:eastAsia="zh-CN"/>
              </w:rPr>
            </w:pPr>
            <w:r>
              <w:rPr>
                <w:rFonts w:hint="eastAsia"/>
                <w:color w:val="auto"/>
                <w:sz w:val="32"/>
                <w:szCs w:val="32"/>
                <w:highlight w:val="none"/>
                <w:lang w:val="en-US" w:eastAsia="zh-CN"/>
              </w:rPr>
              <w:t>全旗一般公共预算收入</w:t>
            </w:r>
            <w:r>
              <w:rPr>
                <w:rFonts w:hint="eastAsia"/>
                <w:color w:val="auto"/>
                <w:szCs w:val="32"/>
                <w:highlight w:val="none"/>
              </w:rPr>
              <w:t>2.57</w:t>
            </w:r>
            <w:r>
              <w:rPr>
                <w:rFonts w:hint="eastAsia"/>
                <w:color w:val="auto"/>
                <w:sz w:val="32"/>
                <w:szCs w:val="32"/>
                <w:highlight w:val="none"/>
                <w:lang w:val="en-US" w:eastAsia="zh-CN"/>
              </w:rPr>
              <w:t>亿元，同比下降</w:t>
            </w:r>
            <w:r>
              <w:rPr>
                <w:rFonts w:hint="eastAsia"/>
                <w:color w:val="auto"/>
                <w:szCs w:val="32"/>
                <w:highlight w:val="none"/>
              </w:rPr>
              <w:t>19.</w:t>
            </w:r>
            <w:r>
              <w:rPr>
                <w:rFonts w:hint="eastAsia"/>
                <w:color w:val="auto"/>
                <w:szCs w:val="32"/>
                <w:highlight w:val="none"/>
                <w:lang w:val="en-US" w:eastAsia="zh-CN"/>
              </w:rPr>
              <w:t>8</w:t>
            </w:r>
            <w:r>
              <w:rPr>
                <w:rFonts w:hint="eastAsia"/>
                <w:color w:val="auto"/>
                <w:sz w:val="32"/>
                <w:szCs w:val="32"/>
                <w:highlight w:val="none"/>
                <w:lang w:val="en-US" w:eastAsia="zh-CN"/>
              </w:rPr>
              <w:t>%；一般公共预算支出</w:t>
            </w:r>
            <w:r>
              <w:rPr>
                <w:rFonts w:hint="eastAsia"/>
                <w:color w:val="auto"/>
                <w:szCs w:val="32"/>
                <w:highlight w:val="none"/>
              </w:rPr>
              <w:t>3.92</w:t>
            </w:r>
            <w:r>
              <w:rPr>
                <w:rFonts w:hint="eastAsia"/>
                <w:color w:val="auto"/>
                <w:sz w:val="32"/>
                <w:szCs w:val="32"/>
                <w:highlight w:val="none"/>
                <w:lang w:val="en-US" w:eastAsia="zh-CN"/>
              </w:rPr>
              <w:t>亿元，同比下降</w:t>
            </w:r>
            <w:r>
              <w:rPr>
                <w:rFonts w:hint="eastAsia"/>
                <w:color w:val="auto"/>
                <w:szCs w:val="32"/>
                <w:highlight w:val="none"/>
              </w:rPr>
              <w:t>28.5</w:t>
            </w:r>
            <w:r>
              <w:rPr>
                <w:rFonts w:hint="eastAsia"/>
                <w:color w:val="auto"/>
                <w:sz w:val="32"/>
                <w:szCs w:val="32"/>
                <w:highlight w:val="none"/>
                <w:lang w:val="en-US" w:eastAsia="zh-CN"/>
              </w:rPr>
              <w:t>%。</w:t>
            </w:r>
          </w:p>
          <w:p w14:paraId="3B2CCF9B">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color w:val="auto"/>
                <w:sz w:val="32"/>
                <w:szCs w:val="32"/>
                <w:highlight w:val="none"/>
                <w:lang w:val="en-US" w:eastAsia="zh-CN"/>
              </w:rPr>
            </w:pPr>
            <w:r>
              <w:rPr>
                <w:rFonts w:hint="eastAsia"/>
                <w:color w:val="auto"/>
                <w:sz w:val="32"/>
                <w:szCs w:val="32"/>
                <w:highlight w:val="none"/>
                <w:lang w:val="en-US" w:eastAsia="zh-CN"/>
              </w:rPr>
              <w:t>4月末，金融机构各项存款余额</w:t>
            </w:r>
            <w:r>
              <w:rPr>
                <w:rFonts w:hint="eastAsia"/>
                <w:color w:val="auto"/>
                <w:szCs w:val="32"/>
                <w:highlight w:val="none"/>
              </w:rPr>
              <w:t>23.94</w:t>
            </w:r>
            <w:r>
              <w:rPr>
                <w:rFonts w:hint="eastAsia"/>
                <w:color w:val="auto"/>
                <w:sz w:val="32"/>
                <w:szCs w:val="32"/>
                <w:highlight w:val="none"/>
                <w:lang w:val="en-US" w:eastAsia="zh-CN"/>
              </w:rPr>
              <w:t>亿元，同比增长</w:t>
            </w:r>
            <w:r>
              <w:rPr>
                <w:rFonts w:hint="eastAsia"/>
                <w:color w:val="auto"/>
                <w:szCs w:val="32"/>
                <w:highlight w:val="none"/>
              </w:rPr>
              <w:t>10.1</w:t>
            </w:r>
            <w:r>
              <w:rPr>
                <w:rFonts w:hint="eastAsia"/>
                <w:color w:val="auto"/>
                <w:sz w:val="32"/>
                <w:szCs w:val="32"/>
                <w:highlight w:val="none"/>
                <w:lang w:val="en-US" w:eastAsia="zh-CN"/>
              </w:rPr>
              <w:t>%，其中，住户存款</w:t>
            </w:r>
            <w:r>
              <w:rPr>
                <w:rFonts w:hint="eastAsia"/>
                <w:color w:val="auto"/>
                <w:szCs w:val="32"/>
                <w:highlight w:val="none"/>
              </w:rPr>
              <w:t>19.09</w:t>
            </w:r>
            <w:r>
              <w:rPr>
                <w:rFonts w:hint="eastAsia"/>
                <w:color w:val="auto"/>
                <w:sz w:val="32"/>
                <w:szCs w:val="32"/>
                <w:highlight w:val="none"/>
                <w:lang w:val="en-US" w:eastAsia="zh-CN"/>
              </w:rPr>
              <w:t>亿元，同比增长</w:t>
            </w:r>
            <w:r>
              <w:rPr>
                <w:rFonts w:hint="eastAsia"/>
                <w:color w:val="auto"/>
                <w:szCs w:val="32"/>
                <w:highlight w:val="none"/>
              </w:rPr>
              <w:t>8.1</w:t>
            </w:r>
            <w:r>
              <w:rPr>
                <w:rFonts w:hint="eastAsia"/>
                <w:color w:val="auto"/>
                <w:sz w:val="32"/>
                <w:szCs w:val="32"/>
                <w:highlight w:val="none"/>
                <w:lang w:val="en-US" w:eastAsia="zh-CN"/>
              </w:rPr>
              <w:t>%。金融机构各项贷款余额</w:t>
            </w:r>
            <w:r>
              <w:rPr>
                <w:rFonts w:hint="eastAsia"/>
                <w:color w:val="auto"/>
                <w:szCs w:val="32"/>
                <w:highlight w:val="none"/>
              </w:rPr>
              <w:t>21.20</w:t>
            </w:r>
            <w:r>
              <w:rPr>
                <w:rFonts w:hint="eastAsia"/>
                <w:color w:val="auto"/>
                <w:sz w:val="32"/>
                <w:szCs w:val="32"/>
                <w:highlight w:val="none"/>
                <w:lang w:val="en-US" w:eastAsia="zh-CN"/>
              </w:rPr>
              <w:t>亿元，同比增长</w:t>
            </w:r>
            <w:r>
              <w:rPr>
                <w:rFonts w:hint="eastAsia"/>
                <w:color w:val="auto"/>
                <w:szCs w:val="32"/>
                <w:highlight w:val="none"/>
              </w:rPr>
              <w:t>18.5</w:t>
            </w:r>
            <w:r>
              <w:rPr>
                <w:rFonts w:hint="eastAsia"/>
                <w:color w:val="auto"/>
                <w:sz w:val="32"/>
                <w:szCs w:val="32"/>
                <w:highlight w:val="none"/>
                <w:lang w:val="en-US" w:eastAsia="zh-CN"/>
              </w:rPr>
              <w:t>%，其中，住户贷款</w:t>
            </w:r>
            <w:r>
              <w:rPr>
                <w:rFonts w:hint="eastAsia"/>
                <w:color w:val="auto"/>
                <w:szCs w:val="32"/>
                <w:highlight w:val="none"/>
              </w:rPr>
              <w:t>20.12</w:t>
            </w:r>
            <w:r>
              <w:rPr>
                <w:rFonts w:hint="eastAsia"/>
                <w:color w:val="auto"/>
                <w:sz w:val="32"/>
                <w:szCs w:val="32"/>
                <w:highlight w:val="none"/>
                <w:lang w:val="en-US" w:eastAsia="zh-CN"/>
              </w:rPr>
              <w:t>亿元，同比增长18.5%。</w:t>
            </w:r>
          </w:p>
          <w:p w14:paraId="60DAADF3">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Arial" w:hAnsi="Arial" w:eastAsia="等线" w:cs="Arial"/>
                <w:b/>
                <w:sz w:val="21"/>
                <w:szCs w:val="21"/>
                <w:lang w:val="en-US" w:eastAsia="zh-CN"/>
              </w:rPr>
            </w:pPr>
            <w:r>
              <w:rPr>
                <w:rFonts w:hint="eastAsia"/>
                <w:color w:val="auto"/>
                <w:sz w:val="32"/>
                <w:szCs w:val="32"/>
                <w:highlight w:val="none"/>
                <w:lang w:val="en-US" w:eastAsia="zh-CN"/>
              </w:rPr>
              <w:t>总体来看，1-4月份，全旗主要经济指标趋势向好，部分下行领域降幅收窄，但仍承压显著。下一步，全旗将继续以习近平新时代中国特色社会主义思想为指导，坚持守牢发展底线，统筹抓好经济运行、项目建设、市场消费等各项工作，全力推动全旗经济社会平稳有序、高质量发展。</w:t>
            </w:r>
            <w:bookmarkStart w:id="0" w:name="_GoBack"/>
            <w:bookmarkEnd w:id="0"/>
          </w:p>
        </w:tc>
      </w:tr>
    </w:tbl>
    <w:p w14:paraId="054B206E">
      <w:pPr>
        <w:spacing w:before="120" w:after="120" w:line="288" w:lineRule="auto"/>
        <w:ind w:left="0"/>
        <w:jc w:val="left"/>
        <w:rPr>
          <w:rFonts w:hint="default" w:eastAsia="宋体"/>
          <w:lang w:val="en-US" w:eastAsia="zh-CN"/>
        </w:rPr>
      </w:pPr>
      <w:r>
        <w:rPr>
          <w:rFonts w:hint="eastAsia"/>
          <w:lang w:val="en-US" w:eastAsia="zh-CN"/>
        </w:rPr>
        <w:t>注：表格保存上传附件名为：日期+标题</w:t>
      </w:r>
    </w:p>
    <w:sectPr>
      <w:headerReference r:id="rId3" w:type="default"/>
      <w:footerReference r:id="rId4" w:type="default"/>
      <w:pgSz w:w="11905" w:h="16840"/>
      <w:pgMar w:top="1440" w:right="1134" w:bottom="567" w:left="1134" w:header="720" w:footer="720" w:gutter="0"/>
      <w:pgBorders>
        <w:top w:val="none" w:sz="0" w:space="0"/>
        <w:left w:val="none" w:sz="0" w:space="0"/>
        <w:bottom w:val="none" w:sz="0" w:space="0"/>
        <w:right w:val="none" w:sz="0" w:space="0"/>
      </w:pgBorders>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88"/>
    <w:family w:val="modern"/>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
    <w:altName w:val="方正楷体_GBK"/>
    <w:panose1 w:val="02010609060101010101"/>
    <w:charset w:val="86"/>
    <w:family w:val="auto"/>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等线">
    <w:altName w:val="华文仿宋"/>
    <w:panose1 w:val="02010600030101010101"/>
    <w:charset w:val="86"/>
    <w:family w:val="auto"/>
    <w:pitch w:val="default"/>
    <w:sig w:usb0="00000000" w:usb1="00000000" w:usb2="00000016" w:usb3="00000000" w:csb0="0004000F" w:csb1="00000000"/>
  </w:font>
  <w:font w:name="华文仿宋">
    <w:panose1 w:val="02010600040101010101"/>
    <w:charset w:val="86"/>
    <w:family w:val="auto"/>
    <w:pitch w:val="default"/>
    <w:sig w:usb0="00000287" w:usb1="080F0000" w:usb2="00000000" w:usb3="00000000" w:csb0="0004009F" w:csb1="DFD70000"/>
  </w:font>
  <w:font w:name="MathJax_Vector">
    <w:panose1 w:val="02000603000000000000"/>
    <w:charset w:val="00"/>
    <w:family w:val="auto"/>
    <w:pitch w:val="default"/>
    <w:sig w:usb0="00000001" w:usb1="00000020" w:usb2="00000000" w:usb3="00000000" w:csb0="00000001"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927C7"/>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126B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documentProtection w:enforcement="0"/>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963174"/>
    <w:rsid w:val="16AF0BB7"/>
    <w:rsid w:val="29DE012F"/>
    <w:rsid w:val="46AF5F55"/>
    <w:rsid w:val="630D1292"/>
    <w:rsid w:val="6D222AAF"/>
    <w:rsid w:val="7BE10D73"/>
    <w:rsid w:val="DFF1E642"/>
    <w:rsid w:val="F1FF6297"/>
    <w:rsid w:val="FEFB51D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customStyle="1" w:styleId="5">
    <w:name w:val="（市）正文"/>
    <w:basedOn w:val="1"/>
    <w:autoRedefine/>
    <w:qFormat/>
    <w:uiPriority w:val="0"/>
    <w:pPr>
      <w:widowControl/>
      <w:shd w:val="clear" w:color="auto" w:fill="FFFFFF"/>
      <w:spacing w:line="240" w:lineRule="auto"/>
      <w:ind w:firstLine="880" w:firstLineChars="200"/>
      <w:jc w:val="both"/>
      <w:outlineLvl w:val="9"/>
    </w:pPr>
    <w:rPr>
      <w:rFonts w:hint="eastAsia" w:ascii="仿宋_GB2312" w:hAnsi="仿宋_GB2312" w:eastAsia="仿宋_GB2312" w:cs="方正小标宋简体"/>
      <w:color w:val="000000" w:themeColor="text1"/>
      <w:kern w:val="36"/>
      <w:sz w:val="32"/>
      <w:szCs w:val="44"/>
      <w14:textFill>
        <w14:solidFill>
          <w14:schemeClr w14:val="tx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302</Words>
  <Characters>326</Characters>
  <TotalTime>0</TotalTime>
  <ScaleCrop>false</ScaleCrop>
  <LinksUpToDate>false</LinksUpToDate>
  <CharactersWithSpaces>455</CharactersWithSpaces>
  <Application>WPS Office_12.1.2.22575_F1E327BC-269C-435d-A152-05C5408002CA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2026-04-22T01:34:00Z</dcterms:created>
  <dc:creator>Apache POI</dc:creator>
  <cp:lastModifiedBy>user</cp:lastModifiedBy>
  <dcterms:modified xsi:type="dcterms:W3CDTF">2026-05-28T11:56:07Z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eyJoZGlkIjoiY2Q5MDllZTdmNzRjMGUyNjA4NWY2ZjFiM2Y1MDQ4ZDUiLCJ1c2VySWQiOiIxMDcwNDIxNjQ5In0=</vt:lpwstr>
  </property>
  <property fmtid="{D5CDD505-2E9C-101B-9397-08002B2CF9AE}" pid="3" name="KSOProductBuildVer">
    <vt:lpwstr>2052-12.1.2.22575</vt:lpwstr>
  </property>
  <property fmtid="{D5CDD505-2E9C-101B-9397-08002B2CF9AE}" pid="4" name="ICV">
    <vt:lpwstr>138A7B25226545539C5D9B197838DED6_13</vt:lpwstr>
  </property>
</Properties>
</file>